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IV.2009.00385 vom 3. August 2010</w:t>
      </w:r>
    </w:p>
    <w:p>
      <w:r>
        <w:t>ZH Sozialversicherungsgericht, 2010-08-03, DE</w:t>
      </w:r>
    </w:p>
    <w:p>
      <w:r>
        <w:rPr>
          <w:b/>
        </w:rPr>
        <w:t xml:space="preserve">Quelle: </w:t>
      </w:r>
      <w:r>
        <w:t>https://mcp.opencaselaw.ch/entscheid/zh_sozialversicherungsgericht_IV.2009.00385</w:t>
      </w:r>
    </w:p>
    <w:p>
      <w:r>
        <w:t>FR: ZH_SOZIALVERSICHERUNGSGERICHT IV.2009.00385 du 3 août 2010</w:t>
      </w:r>
    </w:p>
    <w:p>
      <w:r>
        <w:t>IT: ZH_SOZIALVERSICHERUNGSGERICHT IV.2009.00385 del 3 agosto 2010</w:t>
      </w:r>
    </w:p>
    <w:p>
      <w:pPr>
        <w:pStyle w:val="Heading2"/>
      </w:pPr>
      <w:r>
        <w:t>Erwägungen</w:t>
      </w:r>
    </w:p>
    <w:p>
      <w:r>
        <w:rPr>
          <w:b/>
        </w:rPr>
        <w:t>E. 1</w:t>
      </w:r>
    </w:p>
    <w:p>
      <w:r>
        <w:t>1.1Â Â Â Â  Die fÃ¼r die DurchfÃ¼hrung von Eingliederungsmassnahmen notwendigen Reisekosten im Inland werden dem Versicherten vergÃ¼tet (Art. 51 Abs. 1 des Bundesgesetzes Ã¼ber die Invalidenversicherung; IVG).</w:t>
      </w:r>
    </w:p>
    <w:p>
      <w:r>
        <w:t>1.2Â Â Â Â  Art. 21 bis Abs. 2 IVG sieht vor, dass die Invalidenversicherung an die Kosten von Dienstleistungen Dritter, die anstelle eines Hilfsmittels benÃ¶tigt werden, BeitrÃ¤ge gewÃ¤hren kann.</w:t>
      </w:r>
    </w:p>
    <w:p>
      <w:r>
        <w:t>Â Â Â Â Â Â Â Â  Nach der Rechtsprechung hat die Invalidenversicherung Dienstleistungen Dritter jedenfalls dann zu entschÃ¤digen, wenn die invalide Person die Voraussetzung fÃ¼r die Abgabe eines bestimmten Hilfsmittels zwar erfÃ¼llen wÃ¼rde, dieses aber wegen Gegebenheiten, die in ihrer Person liegen, nicht benÃ¼tzen kann. Diese Gegebenheiten kÃ¶nnen, mÃ¼ssen aber nicht notwendigerweise mit ihrem Gebrechen zusammenhÃ¤ngen (BGE 112 V 11; ZAK 1988 S. 183 Erw. 3a).</w:t>
      </w:r>
    </w:p>
    <w:p>
      <w:r>
        <w:t>Â Â Â Â Â Â Â Â  GemÃ¤ss dem Kreisschreiben Ã¼ber die Abgabe von Hilfsmitteln durch die Invalidenversicherung (KHMI) in der ab 1. Januar 2008 gÃ¼tigen Fassung werden solche Kosten von Dienstleistungen Dritter Ã¼bernommen, wenn sie dazu dienen den Weg zur Arbeit, Schulung oder Ausbildung zu Ã¼berwinden, den Beruf auszuÃ¼ben oder FÃ¤higkeiten zu erwerben, welche die Aufrechterhaltung des Kontakts mit der Umwelt ermÃ¶glichen (KHMI Rz. 1036).</w:t>
      </w:r>
    </w:p>
    <w:p>
      <w:r>
        <w:rPr>
          <w:b/>
        </w:rPr>
        <w:t>E. 2</w:t>
      </w:r>
    </w:p>
    <w:p>
      <w:r>
        <w:t>2.1Â Â Â Â  Die Beschwerdegegnerin begrÃ¼ndete die angefochtene VerfÃ¼gung damit, dass die beantragten Fahrten zum Einkaufen nicht im Zusammenhang mit Massnahmen der Invalidenversicherung stehen wÃ¼rden, weshalb eine KostenÃ¼bernahme ausser Betracht falle (Urk. 2).</w:t>
      </w:r>
    </w:p>
    <w:p>
      <w:r>
        <w:t>2.2Â Â Â Â Â Â Â Â  DemgegenÃ¼ber machte die BeschwerdefÃ¼hrerin geltend, dass sie aufgrund ihrer Krankheit aktuell nicht weiter als 500 Meter laufen und so einige Verrichtungen nicht mehr ohne Fahrtendienst verrichten kÃ¶nne (Urk. 1, Urk. 9).</w:t>
      </w:r>
    </w:p>
    <w:p>
      <w:r>
        <w:t>2.3Â Â Â Â Â Â Â Â  Vorliegend ist unbestritten, dass die BeschwerdefÃ¼hrerin aufgrund ihrer Erkrankung in ihrer GehfÃ¤higkeit eingeschrÃ¤nkt ist. So hÃ¤lt Dr. Y.___, Facharzt FMH fÃ¼r Neurologie, in seinem Bericht vom 4. Februar 2009 fest, dass es seiner Patientin nicht mehr mÃ¶glich sei, die EinkÃ¤ufe zu Fuss zu erledigen, weshalb sie auf einen Fahrdienst angewiesen sei (Urk. 3). Weiter vergÃ¼tet die Beschwerdegegnerin seit vielen Jahren einen Fahrdienst fÃ¼r den Transport der BeschwerdefÃ¼hrerin zur Arbeit.</w:t>
      </w:r>
    </w:p>
    <w:p>
      <w:r>
        <w:t>Â Â Â Â Â Â Â Â  Die Beschwerdegegnerin prÃ¼fte das Anliegen der BeschwerdefÃ¼hrerin unter dem Titel der Reisekosten im Sinne von Art. 51 IVG, welcher sich auf die entsprechenden Kosten im Zusammenhang mit Eingliederungsmassnahmen der Invalidenversicherung bezieht. Da es aber im vorliegenden Fall nicht um Eingliederungsmassnahmen, sondern um Fahrten im Zusammenhang mit alltÃ¤glichen Verrichtungen geht, fÃ¤llt eine KostenÃ¼bernahme gestÃ¼tzt auf Art. 51 IVG ausser Betracht, wie dies die Beschwerdegegnerin zu Recht festgehalten hat.</w:t>
      </w:r>
    </w:p>
    <w:p>
      <w:r>
        <w:t>Â Â Â Â Â Â Â Â  Hinsichtlich der KostenÃ¼bernahme fÃ¼r die Fahrten zur Arbeit ist anzumerken, dass diese VergÃ¼tung anstelle eines Hilfsmittels gewÃ¤hrt wird, wobei die Voraussetzungen von Art. 21 Abs. 1 IVG zu berÃ¼cksichtigen sind. Da die BeschwerdefÃ¼hrerin als erwerbstÃ¤tig zu qualifizieren ist und nach wie vor nach ihren MÃ¶glichkeiten einer Arbeit nachgeht, werden ihr die Fahrkosten zum Arbeitsplatz vergÃ¼tet. FÃ¼r die Ãbernahme weiterer Fahrkosten (Einkaufen, Arzt etc.) besteht unter diesem Titel allerdings kein Anspruch.</w:t>
      </w:r>
    </w:p>
    <w:p>
      <w:r>
        <w:t>2.4Â Â Â Â Â Â Â Â  DemgegenÃ¼ber unterliess es die Beschwerdegegnerin, eine KostenÃ¼bernahme unter dem Titel HilflosenentschÃ¤digung im Sinne von Art. 42 IVG zu prÃ¼fen. Dabei ist anzumerken, dass eine lebenspraktische Begleitung auch jenen zukommt, welche aus gesundheitlichen GrÃ¼nden nur mit Begleitung einer Drittperson selbstÃ¤ndig wohnen kÃ¶nnen. Das Bundesgericht hielt ausdrÃ¼cklich fest, dass ein Bedarf an Begleitung bei ausserhÃ¤uslichen Verrichtungen dann angenommen werden kann, wenn eine Person ohne Begleitung nicht in der Lage ist, das Haus fÃ¼r bestimmte notwendige Verrichtungen und Kontakte (Einkaufen, FreizeitaktivitÃ¤ten, Kontakte mit Amtsstellen oder Medizinalpersonen) zu verlassen (Urteil des Bundesgerichts vom 21. Juli 2008 in Sachen M., 9C_28/2008, insbesondere Erw. 3.3).</w:t>
      </w:r>
    </w:p>
    <w:p>
      <w:r>
        <w:t>2.5Â Â Â Â  Die Sache ist somit zu weiteren AbklÃ¤rungen und neuer VerfÃ¼gung an die IV-Stelle zurÃ¼ckzuweisen.</w:t>
      </w:r>
    </w:p>
    <w:p>
      <w:r>
        <w:t>3.Â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ermessensweise auf Fr. 600.-- anzusetzen. Entsprechend dem Ausgang des Verfahrens sind sie der Beschwerdegegnerin aufzuerlegen.</w:t>
      </w:r>
    </w:p>
    <w:p>
      <w:r>
        <w:t>Das Gericht erkennt:</w:t>
      </w:r>
    </w:p>
    <w:p>
      <w:r>
        <w:t>1.Â Â Â Â Â Â Â Â  Die Beschwerde wird in dem Sinne gutgeheissen, dass die angefochtene VerfÃ¼gung vom 31. MÃ¤rz 2009 aufgehoben und die Sache an die SVA, IV-Stelle, zurÃ¼ckgewiesen wird, damit diese, nach erfolgter AbklÃ¤rung im Sinne der ErwÃ¤gungen, Ã¼ber den Anspruch der BeschwerdefÃ¼hrerin auf eine HilflosenentschÃ¤digung verfÃ¼ge.</w:t>
      </w:r>
    </w:p>
    <w:p>
      <w:r>
        <w:t>2.Â Â Â Â Â Â Â Â  Die Gerichtskosten von Fr. 600.-- werden der Beschwerdegegnerin auferlegt. Rechnung und Einzahlungsschein werden der Kostenpflichtigen nach Eintritt der Rechtskraft zugestellt.</w:t>
      </w:r>
    </w:p>
    <w:p>
      <w:r>
        <w:t>3.Â Â 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