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IV.2009.00348 vom 28. September 2010</w:t>
      </w:r>
    </w:p>
    <w:p>
      <w:r>
        <w:t>ZH Sozialversicherungsgericht, 2010-09-28, DE</w:t>
      </w:r>
    </w:p>
    <w:p>
      <w:r>
        <w:rPr>
          <w:b/>
        </w:rPr>
        <w:t xml:space="preserve">Quelle: </w:t>
      </w:r>
      <w:r>
        <w:t>https://mcp.opencaselaw.ch/entscheid/zh_sozialversicherungsgericht_IV.2009.00348</w:t>
      </w:r>
    </w:p>
    <w:p>
      <w:r>
        <w:t>FR: ZH_SOZIALVERSICHERUNGSGERICHT IV.2009.00348 du 28 septembre 2010</w:t>
      </w:r>
    </w:p>
    <w:p>
      <w:r>
        <w:t>IT: ZH_SOZIALVERSICHERUNGSGERICHT IV.2009.00348 del 28 settembre 2010</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2.3Â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3.Â Â Â Â Â Â  Die Beschwerdegegnerin stellte sich in der angefochtenen VerfÃ¼gung auf den Standpunkt, dass dem BeschwerdefÃ¼hrer seine angestammte TÃ¤tigkeit als Servicemitarbeiter nur noch in eingeschrÃ¤nktem Rahmen mÃ¶glich sei. Eine behinderungsangepasste TÃ¤tigkeit mit mÃ¶glichst wenig Kontakt zu Feuchtigkeit sei ihm aus Ã¤rztlicher Sicht vollumfÃ¤nglich zumutbar, wobei er ein gleichwertiges Erwerbseinkommen wie in seiner angestammten TÃ¤tigkeit erzielen kÃ¶nnte (Urk. 2). Der BeschwerdefÃ¼hrer ist demgegenÃ¼ber der Ansicht, dass er Anspruch auf Leistungen der IV habe (Urk. 1).</w:t>
      </w:r>
    </w:p>
    <w:p>
      <w:r>
        <w:rPr>
          <w:b/>
        </w:rPr>
        <w:t>E. 4</w:t>
      </w:r>
    </w:p>
    <w:p>
      <w:r>
        <w:t>4.1Â Â Â Â  Dem Bericht des B.___ vom 8. Februar 2008 sind die Diagnosen eines hochgradigen Verdachts auf Keratosis palmoplantaris (morphologisch diffusa-Typ, Hyperhidrose, am ehesten vereinbar mit Keratosos palmoplantaris diffusa circumscripta Unna-Thost) und einer Tinea pedis (Trichophyton rubrum) zu entnehmen (Urk. 7/7/3). Am 7. August 2008 hielt das B.___ zuhanden der IV-Stelle - unter Wiederholung der Diagnosen vom 8. Februar 2008 - fest, dem Versicherten sei in der bisherigen TÃ¤tigkeit ein etwa 50%iges Pensum zumutbar, in einer angepassten vermutlich ein 100%iges. Zurzeit bestehe eine starke psychische Belastung durch die Progredienz (seit 2004) und Schmerzhaftigkeit der Hautkrankheit. Der Patient nehme alle BehandlungsmÃ¶glichkeiten (intensive Lokaltherapie, regelmÃ¤ssige Kontrollen, Versuch mit Botulinumtoxin) wahr (Urk. 7/7; Urk. 7/10/1-2). Die Beweglichkeit vor allem der Daumen und Zeigefinger beider HÃ¤nde sei zunehmend eingeschrÃ¤nkt. Prognostisch sei mit einem hartnÃ¤ckigen, eher progredienten Verlauf zu rechnen. Insbesondere werde eine intensive lokale Pflege und Therapie sowie das Vermeiden von Risikofaktoren einer Exazerbation, insbesondere Feuchtarbeiten, notwendig sein (Urk. 7/10/2).</w:t>
      </w:r>
    </w:p>
    <w:p>
      <w:r>
        <w:t>4.2Â Â Â Â  Dr. med. C.___, Facharzt FMH Praktischer Arzt, vom Regionalen Ãrztlichen Dienst der IV-Stelle, hielt am 17. Oktober 2008 in einer auf den Akten beruhenden Stellungnahme fest, bei der Erkrankung des Versicherten handle es sich um eine Verdickung der Hornschicht im Bereich der HandflÃ¤chen, die bei der AusÃ¼bung der TÃ¤tigkeit als Servicemitarbeiter stÃ¶rend sei. Eine fÃ¼r diese TÃ¤tigkeit seit Mai 2008 bestehende 50%ige ArbeitsunfÃ¤higkeit sei plausibel, diese lasse sich bei Ansprechen auf eine Therapie und entsprechenden Hautschutzmassnahmen allenfalls steigern. Behinderungsangepasste TÃ¤tigkeiten mit mÃ¶glichst wenig Kontakt zu Feuchtigkeit seien zu 100 % zumutbar (Urk. 7/22/3).</w:t>
      </w:r>
    </w:p>
    <w:p>
      <w:r>
        <w:t>4.3Â Â Â Â  Mit Bericht vom 10. Februar 2009 erhob das B.___ wiederum dieselben Diagnosen wie mit den frÃ¼heren Berichten vom 8. Februar und 7. August 2008. Der Versicherte sei vom 29. Mai 2008 bis 20. Februar 2009 als Serviceangestellter zu 50 % arbeitsunfÃ¤hig. Die HautverhÃ¤ltnisse seien schwankend, Ã¼ber die letzten Monate hinweg jedoch stationÃ¤r bis diskret verschlechternd (Urk. 7/30/1). Aktuell sei eine 50%ige ArbeitsunfÃ¤higkeit verordnet. Langfristig sei als Kellner vermutlich keine 100%ige ArbeitsfÃ¤higkeit zu erwarten (Urk. 7/30/2-3). Zur Arbeits(un)fÃ¤higkeit in einer behinderungsangepassten TÃ¤tigkeit Ã¤ussert sich dieser Bericht nicht.</w:t>
      </w:r>
    </w:p>
    <w:p>
      <w:r>
        <w:t>4.4Â Â Â Â  Das vom B.___ am 24. August 2009 zuhanden der A.___ erstellte Gutachten beruht auf ambulanten Konsultationen des BeschwerdefÃ¼hrers zwischen dem 18. November 2004 und dem 15. Juni 2009 (Urk. 11/1 S. 1) und beschreibt folgende Diagnosen (Urk. 11/1 S. 7) - die wiederum jenen in den frÃ¼heren Berichten entsprechen -:</w:t>
      </w:r>
    </w:p>
    <w:p>
      <w:r>
        <w:t>- hochgradiger Verdacht auf Keratosis palmoplantaris</w:t>
      </w:r>
    </w:p>
    <w:p>
      <w:r>
        <w:t>- am ehesten vereinbar mit Keratosis palmoplantaris diffusa circumscripta Unna-Thost</w:t>
      </w:r>
    </w:p>
    <w:p>
      <w:r>
        <w:t>- Histologie 2004 (Befund: ortstypisch hyperkeratotisch verhornende Epidermis, fokale Parakeratose mit fokaler Hypergranulose, diskrete Akanthose mit Spondiose, PAS negativ)</w:t>
      </w:r>
    </w:p>
    <w:p>
      <w:r>
        <w:t>- positive Familienanamnese</w:t>
      </w:r>
    </w:p>
    <w:p>
      <w:r>
        <w:t>- Epikutantestung 2004: negativ, normale Alkali-Resistenz</w:t>
      </w:r>
    </w:p>
    <w:p>
      <w:r>
        <w:t>- Status nach Dade-PUVA Januar 2005</w:t>
      </w:r>
    </w:p>
    <w:p>
      <w:r>
        <w:t>- Status nach Therapie mit Neotigason von Februar bis Mai 2008: keine Besserung</w:t>
      </w:r>
    </w:p>
    <w:p>
      <w:r>
        <w:t>- Tinea pedis</w:t>
      </w:r>
    </w:p>
    <w:p>
      <w:r>
        <w:t>- Mehrmalige positive Myokologie fÃ¼r Trichophyton rubrum trotz topischer und systemischer antimykotischer Therapie</w:t>
      </w:r>
    </w:p>
    <w:p>
      <w:r>
        <w:t>Â Â Â Â Â Â Â Â  Die ArbeitsfÃ¤higkeit sei insofern eingeschrÃ¤nkt, als es durch die Hyperkeratosen sowie Entstehung von Rhagaden zu Schmerzen beim Beugen der Finger kommen kÃ¶nne. Ein weiteres Hauptproblem fÃ¼r den Patienten sei die Ã¤sthetische BeeintrÃ¤chtigung, deren psychologisches Ausmass sie nicht beurteilen kÃ¶nnten (Urk. 11/1 S. 8 f.). Der Patient sei seit 29. Mai 2008 zu 50 % arbeitsunfÃ¤hig geschrieben. Unter konsequenter Therapie mit Keratolytika sowie sorgfÃ¤ltigem mechanischen Abtragen der Hyperkeratosen (am Besten durch professionelles Personal) und nicht zu starker mechanischer Belastung sollte jedoch eine 100%ige ArbeitsfÃ¤higkeit mÃ¶glich sein. Der Patient sei fÃ¼r Arbeiten ohne starke mechanische Belastung von HÃ¤nden und FÃ¼ssen sowie ohne Bedarf an Feinmotorik zu 100 % arbeitsfÃ¤hig (Urk. 11/1 S. 10).</w:t>
      </w:r>
    </w:p>
    <w:p>
      <w:r>
        <w:t>5.Â Â Â Â Â Â Â Â  GestÃ¼tzt auf die insgesamt ausfÃ¼hrlichen, umfassenden und nachvollziehbaren Berichte des B.___ vom 8. Februar, 7. August 2008 und 10. Februar 2009 sowie insbesondere das sich Ã¼ber einen Zeitraum von mehreren Jahren (18. November 2004 bis 15. Juni 2009) Ã¤ussernde Gutachten des B.___ vom 24. August 2009 steht fest, dass dem Versicherten seine angestammte TÃ¤tigkeit als Serviceangestellter im entscheidrelevanten Zeitraum lediglich mit einem Teilzeitpensum zumutbar war, dass er aber in einer behinderungsangepassten TÃ¤tigkeit (ohne starke mechanische Belastung von HÃ¤nden und FÃ¼ssen, nicht feinmotorisch, ohne Feuchtarbeiten; vgl. dazu vorstehend Erw. 4.4) vollstÃ¤ndig arbeitsfÃ¤hig ist. Das Gutachten vom 24. August 2009, das im Rahmen der medizinischen AbklÃ¤rungen der A.___ erstellt worden ist, ist umfassend, beruht auf sorgfÃ¤ltigen Untersuchungen und berÃ¼cksichtigt sowohl die medizinischen Vorakten als auch die vom Versicherten geklagten GesundheitseinschrÃ¤nkungen. Es leuchtet in der Darlegung der medizinischen ZusammenhÃ¤nge und in der Beurteilung der medizinischen Situation ein, und die darin gezogenen Schlussfolgerungen sind begrÃ¼ndet, weshalb es die rechtsprechungsgemÃ¤ss erforderlichen Kriterien fÃ¼r beweiskrÃ¤ftige Ã¤rztliche Entscheidungsgrundlagen erfÃ¼llt (vgl vorstehend Erw. 2.3). Der Versicherte bringt nichts vor, was zu einer anderen Beurteilung fÃ¼hren kÃ¶nnte. Wenn er ausfÃ¼hrt, er kÃ¶nne als Serviceangestellter nur noch zu 50 % arbeiten und habe keinen anderen Beruf, Ã¼bersieht er, dass ihm auch andere TÃ¤tigkeiten als seine bisherige zugemutet werden kÃ¶nnen, so beispielsweise Hilfsarbeiten, die ohne eine eigentliche Berufs-Ausbildung ausgeÃ¼bt werden kÃ¶nnen. Die von den Ãrzten des B.___ erwÃ¤hnte psychische Belastungssituation sei eine Reaktion auf die Krankheit und kann - zumindest im vorliegend relevanten Zeitpunkt bis zum VerfÃ¼gungserlass vom 2. April 2009 - mit dem im Sozialversicherungsrecht massgebenden Beweisgrad der Ã¼berwiegenden Wahrscheinlichkeit zu keiner relevanten EinschrÃ¤nkung der ArbeitsfÃ¤higkeit fÃ¼hren (bei aus somatischer Sicht 100%iger behinderungsangepasster ArbeitsfÃ¤higkeit wÃ¤re im Ãbrigen eine massive psychische EinschrÃ¤nkung nÃ¶tig, um etwas am Ergebnis Ã¤ndern zu kÃ¶nnen). Diese Feststellung wird dadurch unterstrichen, dass der Versicherte bis zum VerfÃ¼gungserlass unentwegt mit einem 50%igen Pensum seiner Arbeit als Serviceangestellter nachgegangen ist und weder er noch sein Arbeitgeber eine psychische EinschrÃ¤nkung erwÃ¤hnen.</w:t>
      </w:r>
    </w:p>
    <w:p>
      <w:r>
        <w:rPr>
          <w:b/>
        </w:rPr>
        <w:t>E. 6</w:t>
      </w:r>
    </w:p>
    <w:p>
      <w:r>
        <w:t>6.1Â Â Â Â  Bleibt die PrÃ¼fung der erwerblichen Auswirkungen der EinschrÃ¤nkung:</w:t>
      </w:r>
    </w:p>
    <w:p>
      <w:r>
        <w:t>Â Â Â Â Â Â Â Â  Der Einkommensvergleich gemÃ¤ss Art. 28a Abs. 1 IVG (bis 31. Dezember 2007: Art. 28 Abs. 2 IVG) in Verbindung mit Art. 16 ATSG hat in der Regel in der Weise zu erfolgen, dass die beiden hypothetischen Erwerbseinkommen ziffernmÃ¤ssig mÃ¶glichst genau ermittelt und einander gegenÃ¼bergestellt werden, worauf sich aus der Einkommensdifferenz der InvaliditÃ¤tsgrad bestimmen lÃ¤sst. Der InvaliditÃ¤tsgrad ist durch Prozentvergleich zu ermitteln, wenn Validen- und Invalideneinkommen sich nicht hinreichend genau oder nur mit unverhÃ¤ltnismÃ¤ssig grossem Aufwand bestimmen lassen und in letzterem Fall zudem angenommen werden kann, die GegenÃ¼berstellung der nach Massgabe der im Einzelfall bekannten UmstÃ¤nde geschÃ¤tzten, mit Prozentzahlen bewerteten hypothetischen Einkommen ergebe ein ausreichend zuverlÃ¤ssiges Resultat. Diese Berechnungsweise ist insbesondere anwendbar, wenn die konkreten VerhÃ¤ltnisse so liegen, dass die Differenz zwischen Validen- und Invalideneinkommen die fÃ¼r den Umfang des Rentenanspruchs massgebenden Grenzwerte von 70, 60, 50 und 40 % (Art. 28 Abs. 2 IVG) eindeutig Ã¼ber- oder unterschreitet (BGE 104 V 135 Erw. 2b S. 137; Urteil des Bundesgerichts vom 23. MÃ¤rz 2010, 9C_100/2010, Erw. 2.1 mit Hinweis).</w:t>
      </w:r>
    </w:p>
    <w:p>
      <w:r>
        <w:t>6.2Â Â Â Â  Nach Art. 48 Abs. 2 IVG werden die Rentenleistungen lediglich fÃ¼r die zwÃ¶lf der Anmeldung vorangehenden Monate ausgerichtet, wenn sich eine versicherte Person mehr als zwÃ¶lf Monate nach Entstehung der Leistungen bei der Invalidenversicherung anmeldet. Der BeschwerdefÃ¼hrer meldete sich am 17. Juli 2008 bei der Invalidenversicherung zum Leistungsbezug an, so dass der Rentenbeginn frÃ¼hestens auf den 1. Juli 2007 fallen kÃ¶nnte.</w:t>
      </w:r>
    </w:p>
    <w:p>
      <w:r>
        <w:t>6.3Â Â Â Â  Die IV-Stelle ging gestÃ¼tzt auf die Angaben des Arbeitgebers des Versicherten fÃ¼r das Jahr 2007 von einem Valideneinkommen von Fr. 57'045.-- aus (Urk. 7/22; vgl. Auszug aus dem individuellen Konto [Urk. 7/8/1]). FÃ¼r die Bestimmung des Invalideneinkommens zog sie TabellenlÃ¶hne bei und ging vom mittleren Lohn fÃ¼r MÃ¤nner, die Hilfsarbeiten ausfÃ¼hrten, aus, was fÃ¼r das Jahr 2007 einem Einkommen von Fr. 60'144.-- entspricht (Schweizerische Lohnstrukturerhebung fÃ¼r das Jahr 2006 [LSE 2006], Tabelle TA1 S. 25, Fr. 4'732.--, angepasst an die Nominallohnentwicklung fÃ¼r das Jahr 2007 [+ 1,6 %] und umgerechnet von 40 Stunden auf die im Jahr 2007 betriebsÃ¼bliche wÃ¶chentliche Arbeitszeit fÃ¼r alle Sektoren von 41,7 Stunden, vgl. die Volkswirtschaft 5-2009 S. 94 f., Tabelle B 9.2 und B 10.2). Aufgrund der Einkommensvergleichsmethode errechnete die IV-Stelle einen InvaliditÃ¤tsgrad von 0 % (Urk. 7/15/2). Diese Berechnung des InvaliditÃ¤tsgrades blieb unbestritten und es kann ihr gefolgt werden. Namentlich wÃ¼rde die Vornahme eines leidensbedingten Abzuges im Sinne von BGE 126 V 75 bei diesen EinkommensverhÃ¤ltnissen nicht zu einem rentenbegrÃ¼ndenden InvaliditÃ¤tsgrad fÃ¼hren. Die Anspruchsverneinung durch die IV-Stelle ist demnach nicht zu beanstanden und die Beschwerde abzuweisen.</w:t>
      </w:r>
    </w:p>
    <w:p>
      <w:r>
        <w:t>7.Â Â Â Â Â Â  Die Kosten des Verfahrens sind auf Fr. 600.-- festzulegen und ausgangsgemÃ¤ss vom BeschwerdefÃ¼hrer zu tragen (Art. 69 Abs. 1 bis IVG).</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 unter Beilage je einer Kopie der Urk. 16 und Urk. 17/1-3</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