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IV.2009.00327 vom 27. Mai 2011</w:t>
      </w:r>
    </w:p>
    <w:p>
      <w:r>
        <w:t>ZH Sozialversicherungsgericht, 2011-05-27, DE</w:t>
      </w:r>
    </w:p>
    <w:p>
      <w:r>
        <w:rPr>
          <w:b/>
        </w:rPr>
        <w:t xml:space="preserve">Quelle: </w:t>
      </w:r>
      <w:r>
        <w:t>https://mcp.opencaselaw.ch/entscheid/zh_sozialversicherungsgericht_IV.2009.00327</w:t>
      </w:r>
    </w:p>
    <w:p>
      <w:r>
        <w:t>FR: ZH_SOZIALVERSICHERUNGSGERICHT IV.2009.00327 du 27 mai 2011</w:t>
      </w:r>
    </w:p>
    <w:p>
      <w:r>
        <w:t>IT: ZH_SOZIALVERSICHERUNGSGERICHT IV.2009.00327 del 27 maggio 2011</w:t>
      </w:r>
    </w:p>
    <w:p>
      <w:pPr>
        <w:pStyle w:val="Heading2"/>
      </w:pPr>
      <w:r>
        <w:t>Erwägungen</w:t>
      </w:r>
    </w:p>
    <w:p>
      <w:r>
        <w:rPr>
          <w:b/>
        </w:rPr>
        <w:t>E. 3</w:t>
      </w:r>
    </w:p>
    <w:p>
      <w:r>
        <w:t>3.1Â Â Â Â  Der ursprÃ¼nglichen Zusprechung der halben Rente (VerfÃ¼gung vom 23. Juni 2003, Urk. 9/2) lag in medizinischer Hinsicht das Gutachten der Rheumaklinik des Y.___ vom 9. April 2003 zugrunde (Gez. Dr. C.___, Urk. 9/1). Diagnostiziert wurden ein chronisches lumbospondylogenes Syndrom links (funktionell objektiv eingeschrÃ¤nkt, degenerative VerÃ¤nderungen der unteren LendenwirbelsÃ¤ule), ein myofascialbetontes zervikovertebrales und cervicocephales Syndrom (thorakale Hyperkyphose und Kopfprotraktion), eine Periarthropathia humero scapularis tendopatica et pastim ancylosans links (deutliche kapsulÃ¤re EinschrÃ¤nkung, Impingementsyndrom leichtgradig), eine Periarthropathia genu links (DD: im Rahmen des spondylogenen Syndroms und der muskulÃ¤ren Dysbalance, beginnende femoro-patellare Arthrose) sowie eine Periarthropathie im Bereich des oberen Sprunggelenkes links (DD: spondylogen chronische Periostreizung, funktionell leichtes Schonhinken) (Urk. 9/1 S. 11f.).</w:t>
      </w:r>
    </w:p>
    <w:p>
      <w:r>
        <w:t>Â Â Â Â Â Â Â Â  Zusammenfassend bestand ein chronisches Schmerzsyndrom mit funktioneller EinschrÃ¤nkung in verschiedenen KÃ¶rperpartien, wobei die RÃ¼cken-, Nacken- und Kopfschmerzen subjektiv am stÃ¶rendsten waren. Die subjektiven Beschwerden stimmten nach Auffassung des Gutachters unter BerÃ¼cksichtigung der ChronizitÃ¤t im Wesentlichen mit den objektiven Befunden Ã¼berein. Erstaunlicherweise mÃ¼sse "auf Grund der objektiven EinschrÃ¤nkung der linken Schulter ein stÃ¤rkerer Einfluss auf die Behinderung angenommen werden, wie dies auf Grund der subjektiven Schilderungen wahrscheinlich wÃ¤re". Obwohl in einem Bericht der Rheumatologie des Y.___ (vom 3. Juni 1999) von der Tendenz zu einer SchmerzverarbeitungsstÃ¶rung sowie Fibromyalgie die Rede gewesen sei, der frÃ¼here Hausarzt von einer Neigung zu depressiven Verstimmungen gesprochen habe und auch im Rahmen der Evaluation der funktionellen LeistungsfÃ¤higkeit (EFL) eine Selbstlimitierung festgehalten worden sei, bestÃ¼nden zum heutigen Zeitpunkt keine Hinweise auf eine psychische StÃ¶rung im engeren Sinn (Depression, AngststÃ¶rung) (Urk. 9/1 S. 12).</w:t>
      </w:r>
    </w:p>
    <w:p>
      <w:r>
        <w:t>3.2Â Â Â Â Â Â Â Â  Hinsichtlich des Grades der ArbeitsfÃ¤higkeit ergab sich Folgendes: Obwohl auf Grund der EFL nur bei vereinzelten Verrichtungen eine "maximal sichere Limite" festgehalten werden konnte, wurde angesichts der subjektiven Angaben und objektiven Befunde unter Einbezug der neu hinzugekommenen Schulterpathologie links von einer zumutbaren TÃ¤tigkeit wÃ¤hrend vier Stunden pro Tag ausgegangen. Es bestehe insgesamt eine ArbeitsfÃ¤higkeit in der bisherigen TÃ¤tigkeit von 30 % (Urk. 9/1 S. 12). Bei der 30%igen RestarbeitsfÃ¤higkeit sei der Zusatzerwerb durch Vermittlung von Kleinkrediten mitberÃ¼cksichtigt. Eine leichte TÃ¤tigkeit unter Ausschluss von Arbeiten Ã¼ber Kopf und mit geringem Krafteinsatz des linken Armes sei halbtags zumutbar. Es bestehe somit eine medizinisch-theoretische ArbeitsfÃ¤higkeit von 50 % in einer behinderungsangepassten TÃ¤tigkeit (Urk. 9/1 S. 13). Der Medizinische Dienst der damals zustÃ¤ndig gewesenen SVA Aargau (vom 13. Mai 2003) erachtete das Y.___-Gutachten als umfassend und in der Beurteilung der zumutbaren medizinisch-theoretischen ArbeitsfÃ¤higkeit von 50 % in einer leichten angepassten TÃ¤tigkeit als nachvollziehbar und schlÃ¼ssig (Urk. 9/3).</w:t>
      </w:r>
    </w:p>
    <w:p>
      <w:r>
        <w:rPr>
          <w:b/>
        </w:rPr>
        <w:t>E. 4</w:t>
      </w:r>
    </w:p>
    <w:p>
      <w:r>
        <w:t>4.1Â Â Â Â  Die von der IV-Stelle nach Einholung von Berichten der Dres. Z.___ (Urk. 9/14) und A.___ (Urk. 9/15) veranlasste, am 17. Juni 2008 von der MEDAS erstattete interdisziplinÃ¤re (internistische, rheumatologisch-orthopÃ¤dische und psychiatrische) Expertise (Urk. 9/33) nannte zur Hauptsache folgende - die ArbeitsfÃ¤higkeit nicht beeinflussende - Diagnosen: Coxarthrose beidseits (mit/ bei klinischem und bildgebendem Korrelat, beschwerdefÃ¼hrend links), chronisches lokales Cervikalsyndrom (mit/bei myofascialem Beschwerdekomplex, intakter peripherer Sensomotorik, Osteochondrose HWK5/6 mit geringgradiger bilateraler Protrusion der Bandscheibe), chronisch imtermittierendes lokales Thorakalsyndrom (mit/bei alterskonformen degenerativen VerÃ¤nderungen, Osteochondrose HÃ¶he Th6/7 mit geringer dorsalseitiger medianer Protrusio der Bandscheibe, muskulostatischer Dysbalance), chronisch intermittierendes Lumbalsyndrom (mit/bei konventionell-radiologischer Osteochondrose LWK5/SWK1, muskulostatischer Dysbalance, intakter peripherer Sensomotorik, kernspintomographisch Osteochondrose LWK5/SWK1), chronisch intermittierendes femoropatellares Schmerzsyndrom rechts mehr als links (mit/bei konventionell radiologisch nebenbefundlicher Fibroostose am proximalen Patellapol rechts, klinisch Hinweise fÃ¼r ein Patellaspitzensyndrom beidseits), intermittierendes subacromiales Impingement beider Schultergelenke (mit/bei konventionell-radiologisch unauffÃ¤lliger Schultergelenks-Anatomie, klinisch positiven Impingementtests bei unauffÃ¤lliger Rotatorenmanschette beidseits) (Urk. 9/33 S. 30 f.).</w:t>
      </w:r>
    </w:p>
    <w:p>
      <w:r>
        <w:t>4.2Â Â Â Â Â Â Â Â  AnlÃ¤sslich der psychiatrischen Begutachtung ergaben sich - wie bei der internistischen Untersuchung - keine GesundheitsschÃ¤den, welche eine dauerhafte Limitierung der ArbeitsfÃ¤higkeit hÃ¤tten begrÃ¼nden kÃ¶nnen (Urk. 9/33 S. 34 und Urk. 9/33 S. 45). Bei der rheumatologisch-orthopÃ¤dischen Untersuchung imponierten Befundinkonsistenzen mit 3/5 Waddell-Zeichen. Trotz ausgeprÃ¤gter Gegeninnervation bei der klinischen Untersuchung habe sich eine eingeschrÃ¤nkte Beweglichkeit der HalswirbelsÃ¤ule in allen Ebenen um 1/3 feststellen lassen. Vor dem Hintergrund eines intakten peripheren und sensomotorischen Status bei bildgebend fortgeschrittener Osteochondrose betreffend des cervikalen Segmentes HWS5/6 liess sich keine diskogene oder neurokompressive Pathologie erheben. Konventionell-radiologisch sei eine mittelgradige Osteochondrose HWK5/6 mit begleitender Unkarthrose festzustellen, wobei diese VerÃ¤nderungen die geschilderten Beschwerden hinsichtlich IntensitÃ¤t und Dauer jedoch nicht hinlÃ¤nglich erklÃ¤rten. Die schultergelenknah empfundenen SchmerzzustÃ¤nde liessen sich auf reaktive Muskelverspannungen an beiden TrapeziusoberrÃ¤ndern zurÃ¼ckfÃ¼hren. Lumbal zeige sich eine eingeschrÃ¤nkte Rotation und Seitneigung nach beiden Seiten um jeweils 1/3 mit einem vergrÃ¶sserten Finger-Boden-Abstand nach vorne von 24 cm. Eine lumbale Reklination sei wegen muskulÃ¤rer Gegeninnervation nicht durchfÃ¼hrbar gewesen. Konventionell-radiologisch hÃ¤tten sich geringe degenerative VerÃ¤nderungen mit einer schwerpunktmÃ¤ssigen Osteochondrose in HÃ¶he LWK/SWK1 gezeigt. Der bildgebende Befund relativiere sich jedoch vor dem klinischen Status unauffÃ¤lliger Nervenwurzeldehnungszeichen nach LasÃ¨gue und bei intaktem peripherem sensomotorischem Status. Die Beschwerden im Bereich des rechten Kniegelenkes liessen sich einem Patellaspitzensyndrom zuordnen (Urk. 9/33 S. 34).</w:t>
      </w:r>
    </w:p>
    <w:p>
      <w:r>
        <w:t>Â Â Â Â Â Â Â Â  Zusammenfassend und nach Auswertung aller bildgebenden und klinischen Befunde lasse sich bezogen auf die zuletzt ausgeÃ¼bte TÃ¤tigkeit als selbstÃ¤ndigerwerbende Betreiberin eines Kleinkiosks wie auch hinsichtlich der NebentÃ¤tigkeit in der Vermittlung von Kleinkrediten bei insgesamt leichter kÃ¶rperlicher Arbeit in WechseltÃ¤tigkeit und spontaner Wahl der KÃ¶rperposition keine dauerhafte Limitierung der ArbeitsfÃ¤higkeit begrÃ¼nden (Urk. 9/33 S. 35).</w:t>
      </w:r>
    </w:p>
    <w:p>
      <w:r>
        <w:t>5.Â Â Â Â Â Â</w:t>
      </w:r>
    </w:p>
    <w:p>
      <w:r>
        <w:t>5.1Â Â Â Â  Die MEDAS-Gutachter legten schlÃ¼ssig dar, weshalb sich die vom behandelnden Psychiater Dr. A.___ postulierte depressive Erkrankung mit gegenwÃ¤rtig mittelgradiger depressiver StÃ¶rung bei generalisierter AngststÃ¶rung und spezifischer Phobie (Urk. 9/15) diagnostisch nicht nachvollziehen lasse und folglich kein psychisches Krankheitsbild mit dauerhafter Limitierung der ArbeitsfÃ¤higkeit vorliege (Urk. 9/33 S. 35 und S. 38). Entsprechendes war bereits im Y.___ festgestellt worden (Urk. 9/1 S. 12).</w:t>
      </w:r>
    </w:p>
    <w:p>
      <w:r>
        <w:t>5.2Â Â Â Â Â Â Â Â  Fraglich ist, ob mit den vom RAD festgestellten VerÃ¤nderungen in Bezug auf die Schulterbeweglichkeit sowie die Statik und Beweglichkeit der WirbelsÃ¤ule (Statik der WirbelsÃ¤ule mit Lot 1.5 rechts der Rima ani, vorher 2 cm; Beweglichkeit der WirbelsÃ¤ule um 1/3 eingeschrÃ¤nkt, vorher 1/2 eingeschrÃ¤nkt; die aktuelle Schulterbeweglichkeit erlaube beidseits SchÃ¼rzen- und Nackengriff, vorher bedeutende EinschrÃ¤nkung der Schulterbeweglichkeit; Urk. 9/36 S. 3 und 4, ferner Urk. 2) eine wesentliche gesundheitliche Verbesserung hin zu einer vollen ArbeitsfÃ¤higkeit in angepasster TÃ¤tigkeit begrÃ¼ndet werden kann. Dies gilt um so mehr, als zwischenzeitlich zusÃ¤tzliche Beschwerden etwa im Bereich der HÃ¼fte hinzugetreten sind und sich eine Akzentuierung der Schulterpathologie (vgl. Bericht Dr. Z.___ vom 26. MÃ¤rz 2009, Urk. 3/7)Â  - welche im Jahre 2003 die Annahme einer eingeschrÃ¤nkten ArbeitsfÃ¤higkeit wesentlich mitbeeinflusste - nicht rechtsgenÃ¼glich ausschliessen lÃ¤sst.</w:t>
      </w:r>
    </w:p>
    <w:p>
      <w:r>
        <w:t>Â Â Â Â Â Â Â Â  Zudem erklÃ¤rten die Gutachter der MEDAS ihrerseits, dass die vom Y.___ (Dr. C.___) auf 50 % veranschlagte ArbeitsunfÃ¤higkeit versicherungsmedizinisch nicht nachvollziehbar sei (Urk. 9/33 S. 37) und "weder heute noch im retrospektiven LÃ¤ngsschnitt betrachtet"Â  ein dauerhafter Gesundheitsschaden bestehe, der eine anhaltende Limitierung der ArbeitsfÃ¤higkeit begrÃ¼nden kÃ¶nnte; es kÃ¶nne das aktuell polydisziplinÃ¤r ermittelte Arbeitsprofil "sei jeher" angenommen werden (Urk. 9/33 S. 37). Diese Wendungen deuten im Kontext eher auf eine - revisionsrechtlich unerhebliche - andere strengere Beurteilung der Auswirkungen eines im Wesentlichen unverÃ¤ndert gebliebenen Gesundheitszustandes als auf eine insgesamt wesentlich verbesserte Situation hin.</w:t>
      </w:r>
    </w:p>
    <w:p>
      <w:r>
        <w:t>5.3Â Â Â Â Â Â Â Â  Angesichts dieser Unklarheiten ist die Sache zur weiteren AbklÃ¤rung hinsichtlich eines Revisionsgrundes (vgl. E. 1 hievor) und anschliessender NeuverfÃ¼gung an die Beschwerdegegnerin zurÃ¼ckzuweisen, wobei vor dem Hintergrund der festgestellten Befundinkonsistenzen, der Tendenz zur Selbstlimitierung (vgl. auch Bericht Ã¼ber die EFL am Y.___ vom 5. Juli 2000, Urk. 9/1/15) und der Ergebnisse einer von der S.___ offenbar durchgefÃ¼hrten Observation (vgl. Urk. 8) eine besonders einlÃ¤ssliche PrÃ¼fung - allenfalls mit erneuter EFL - angebracht erscheint.</w:t>
      </w:r>
    </w:p>
    <w:p>
      <w:r>
        <w:t>Â Â Â Â Â Â Â Â  Damit kann die in der Beschwerde aufgeworfene Frage, ob im Falle der BestÃ¤tigung eines medizinisch-theoretisch wiedergewonnenen LeistungsvermÃ¶gens vor Aufhebung der Rente eine erwerbsbezogene AbklÃ¤rung (der Eignung, BelastungsfÃ¤higkeit usw.) und/oder die DurchfÃ¼hrung von Eingliederungsmassnahmen im Rechtssinne erforderlich wÃ¤ren, vorderhand offen bleiben (vgl. zum Ganzen Urteil des Bundesgerichts vom 26. April 2011, 9C_228/2010, E. 3.1).Â Â Â</w:t>
      </w:r>
    </w:p>
    <w:p>
      <w:r>
        <w:rPr>
          <w:b/>
        </w:rPr>
        <w:t>E. 6</w:t>
      </w:r>
    </w:p>
    <w:p>
      <w:r>
        <w:t>Â Â Â Â Â  Bei diesem Verfahrensausgang sind der Beschwerdegegnerin die auf Fr. 800.-- festzusetzenden Gerichtskosten des nach Art. 69 Abs. 1bis IVG kostenpflichtigen Verfahrens aufzuerlegen. Auch ist sie gestÃ¼tzt auf Art. 61 lit. g ATSG zur Bezahlung einer ProzessentschÃ¤digung zu verpflichten, welche in Anwendung der einschlÃ¤gigen GrundsÃ¤tze und nach Einsicht in die Honorarnote vom 6. Dezember 2010 (Urk. 11) auf Fr. 2'636.65 (inklusive Barauslagen und Mehrwertsteuer) festzusetzen ist. Damit erweist sich das Gesuch der BeschwerdefÃ¼hrerin um unentgeltliche ProzessfÃ¼hrung und GewÃ¤hrung der unentgeltlichen RechtsverbeistÃ¤ndung als gegenstandslos.</w:t>
      </w:r>
    </w:p>
    <w:p>
      <w:r>
        <w:t>Â Â Â Â Â Â Â Â  Â Â Â</w:t>
      </w:r>
    </w:p>
    <w:p>
      <w:r>
        <w:t>Â Â Â Â Â Â Â Â  Â Â Â Â</w:t>
      </w:r>
    </w:p>
    <w:p>
      <w:r>
        <w:t>Â Â Â Â Â Â Â Â  Â Â</w:t>
      </w:r>
    </w:p>
    <w:p>
      <w:r>
        <w:t>Das Gericht erkennt:</w:t>
      </w:r>
    </w:p>
    <w:p>
      <w:r>
        <w:t>1.Â Â Â Â Â Â Â Â  Die Beschwerde wird in dem Sinne gutgeheissen, dass die VerfÃ¼gung vom 23. Februar 2009 aufgehoben und die Sache an die Sozialversicherungsanstalt des Kantons ZÃ¼rich, IV-Stelle, zurÃ¼ckgewiesen wird, damit diese, nach erfolgter AbklÃ¤rung im Sinne der ErwÃ¤gungen,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2'636.65.-- (inkl. Barauslagen und MWSt) zu bezahlen.</w:t>
      </w:r>
    </w:p>
    <w:p>
      <w:r>
        <w:t>4.Â Â Â Â Â Â Â Â Â Â  Zustellung gegen Empfangsschein an:</w:t>
      </w:r>
    </w:p>
    <w:p>
      <w:r>
        <w:t>- RechtsanwÃ¤ltin Christine Kessi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