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IV.2009.00073 vom 25. November 2009</w:t>
      </w:r>
    </w:p>
    <w:p>
      <w:r>
        <w:t>ZH Sozialversicherungsgericht, 2009-11-25, DE</w:t>
      </w:r>
    </w:p>
    <w:p>
      <w:r>
        <w:rPr>
          <w:b/>
        </w:rPr>
        <w:t xml:space="preserve">Quelle: </w:t>
      </w:r>
      <w:r>
        <w:t>https://mcp.opencaselaw.ch/entscheid/zh_sozialversicherungsgericht_IV.2009.00073</w:t>
      </w:r>
    </w:p>
    <w:p>
      <w:r>
        <w:t>FR: ZH_SOZIALVERSICHERUNGSGERICHT IV.2009.00073 du 25 novembre 2009</w:t>
      </w:r>
    </w:p>
    <w:p>
      <w:r>
        <w:t>IT: ZH_SOZIALVERSICHERUNGSGERICHT IV.2009.00073 del 25 novembre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83/03, Erw. 5.2 mit Hinweisen; Meyer-Blaser, Zum VerhÃ¤ltnismÃ¤ssigkeitsgrundsatz im staatlichen Leistungsrecht, Diss. Bern 1985,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Â Â Â Â 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Urteil des Bundesgerichts in Sachen W. vom 6. Oktober 2008, 8C_812/2007, Erw. 2.3; MEYER-BLASER, Zum VerhÃ¤ltnismÃ¤ssigkeitsgrundsatz im staatlichen Leistungsrecht, Diss. Bern 1985, S. 77 ff., insbes. S. 83 ff.; JÃRG MAESCHI, Kommentar zum Bundesgesetz Ã¼ber die MilitÃ¤rversicherung [MVG] vom 19. Juni 1992, Bern 2000, N 18 f. zu Art. 33).</w:t>
      </w:r>
    </w:p>
    <w:p>
      <w:r>
        <w:rPr>
          <w:b/>
        </w:rPr>
        <w:t>E. 3</w:t>
      </w:r>
    </w:p>
    <w:p>
      <w:r>
        <w:t>3.1Â Â Â Â  Den medizinischen Akten kann im Wesentlichen Folgendes entnommen werden:</w:t>
      </w:r>
    </w:p>
    <w:p>
      <w:r>
        <w:t>3.1.1Â Â  Dr. med. C.___, Facharzt fÃ¼r Neurologie, Psychiatrie und Psychotherapie, A.___, diagnostizierte in seinem Bericht vom 27. Dezember 2007 (Urk. 10/65) im Wesentlichen eine rezidivierende depressive StÃ¶rung, derzeit mittelgradig, ohne psychotische, mit somatischen Symptomen (ICD-10 F33.0) sowie ein chronisches rezidivierendes Lumbovertebralsyndrom (Urk. 10/65/1). Dr. C.___ vertrat die Auffassung, in der TÃ¤tigkeit als Koch mit unregelmÃ¤ssigen Arbeitszeiten, wenig Freizeit und wechselnder Schicht erscheine aus psychiatrischer Sicht keine vollstÃ¤ndige ArbeitsfÃ¤higkeit erreichbar. In einem regelmÃ¤ssigen Setting sei der BeschwerdefÃ¼hrer derzeit 50-80 % arbeitsfÃ¤hig (Urk. 10/65/3). In einer behinderungsangepassten TÃ¤tigkeit sei er aktuell zu 50-80 %, langfristig zu 100 % arbeitsfÃ¤hig (Urk. 10/65/4).</w:t>
      </w:r>
    </w:p>
    <w:p>
      <w:r>
        <w:t>3.1.2Â Â  Die Beschwerdegegnerin legte die Angelegenheit Dr. med. D.___, Facharzt fÃ¼r Chirurgie, von ihrem RAD zur Beurteilung vor, welcher aufgrund der Akten am 7. Mai 2008 zum Schluss kam, in der bisherigen TÃ¤tigkeit bestehe eine 20%ige ArbeitsunfÃ¤higkeit, langfristig kÃ¶nne die ArbeitsfÃ¤higkeit bei entsprechenden Umgebungsvariablen (ruhige, zeitlich geregelte und regelmÃ¤ssige TÃ¤tigkeit, wechselbelastend, ohne Heben und Tragen schwerer Lasten) auf 100 % gesteigert werden. Damit entsprÃ¤che die bisherige TÃ¤tigkeit einer angepassten TÃ¤tigkeit (Urk. 10/72/3).</w:t>
      </w:r>
    </w:p>
    <w:p>
      <w:r>
        <w:t>3.1.3Â Â  Dr. med. B.___, FMH fÃ¼r physikalische Medizin und Rehabilitation, stellte in seinem Bericht vom 27. Januar 2009 (Urk. 10/90) folgende Diagnosen: rezidivierendes lumbovertebrales Syndrom bei Osteochondrose L2/3, leicht progredient gegenÃ¼ber frÃ¼heren Aufnahmen, bei Streckhaltung im Bereich der LendenwirbelsÃ¤ule sowie von L1 an gegen oben abweichende skoliotische Haltung im BWS-Bereich. Zudem hielt er fest, dass der BeschwerdefÃ¼hrer ihn erstmals im Jahr 1997 und letztmals am 20. Januar 2009 aufgesucht habe (dazwischen, das heisst zwischen September 2007 und Januar 2009 fanden offensichtlich keine rÃ¼ckenspezifischen Behandlungen mehr statt, vgl. Urk. 10/67), und verwies fÃ¼r die psychiatrische Diagnose auf den Bericht des Dr. C.___ (Urk. 10/90/1 und Urk. 10/90/8).</w:t>
      </w:r>
    </w:p>
    <w:p>
      <w:r>
        <w:rPr>
          <w:b/>
        </w:rPr>
        <w:t>E. 3.2</w:t>
      </w:r>
    </w:p>
    <w:p>
      <w:r>
        <w:t>3.2.1Â Â  In somatischer Hinsicht ist der Gesundheitszustand des BeschwerdefÃ¼hrers im Wesentlichen unverÃ¤ndert und vergleichbar mit demjenigen im Zeitpunkt der Umschulung zum Koch. Damals wurde ein Lumbovertebralsyndrom mit/bei skoliotischer WirbelsÃ¤ulenfehlhaltung sowie Insertionstendinopathie Beckenkamm diagnostiziert (Urk. 10/14/2). Angesichts dieser Diagnose und den vom BeschwerdefÃ¼hrer geklagten Beschwerden wurde eine TÃ¤tigkeit als Koch - unter der Voraussetzung, dass der Arbeitsplatz entsprechend angepasst ist - als behinderungsangepasst qualifiziert. Es besteht angesichts des im Wesentlichen unverÃ¤nderten Zustandes kein Anlass dazu, von dieser EinschÃ¤tzung abzuweichen, weshalb davon auszugehen ist, dass die TÃ¤tigkeit als Koch bei entsprechend ausgerÃ¼steter KÃ¼che dem BeschwerdefÃ¼hrer auch aktuell trotz seiner somatisch bedingten EinschrÃ¤nkungen noch vollzeitlich mÃ¶glich und zumutbar ist.</w:t>
      </w:r>
    </w:p>
    <w:p>
      <w:r>
        <w:t>3.2.2Â Â  Zu prÃ¼fen ist demnach, ob die seither neu hinzugekommene psychische Symptomatik invalidenversicherungsrechtlich relevant ist und ob der BeschwerdefÃ¼hrer dadurch in seiner TÃ¤tigkeit als Koch eingeschrÃ¤nkt wird. Bei einer depressiven Episode mittleren Grades mit somatischen Symptomen handelt es sich definitionsgemÃ¤ss um ein vorÃ¼bergehendes Leiden, indem solche Episoden im Mittel etwa sechs Monate, selten lÃ¤nger als ein Jahr dauern (Urteil des Bundesgerichts in Sachen A. vom 26. Januar 2007, I 510/06, Erw. 6.3), somit grundsÃ¤tzlich nicht invalidisierend sind. LÃ¤nger dauernde StÃ¶rungen wÃ¤ren unter F33 (rezidivierende depressive StÃ¶rung) oder F34 (anhaltende affektive StÃ¶rung) zu subsumieren (siehe Urteil des Bundesgerichts in Sachen A. vom 26. Januar 2007, I 510/06, Erw. 6.3). Die depressive Symptomatik kann daher nicht als dauerhaft und damit nicht als invalidisierend qualifiziert werden, weshalb sie keinen Anspruch auf Umschulung begrÃ¼ndet.</w:t>
      </w:r>
    </w:p>
    <w:p>
      <w:r>
        <w:t>3.2.3Â Â  Im Weiteren ist davon auszugehen, dass sich die - wie erwÃ¤hnt ohnehin nicht invalidisierende - psychische Symptomatik in einer TÃ¤tigkeit als Koch mit einem regelmÃ¤ssigen Setting (z.B. in einer Kantine) nicht mehr als in jeglicher anderen TÃ¤tigkeit auswirken wÃ¼rde, weshalb auch unter diesem Aspekt die Notwendigkeit fÃ¼r eine Umschulung nicht gegeben ist.</w:t>
      </w:r>
    </w:p>
    <w:p>
      <w:r>
        <w:t>3.3Â Â Â Â  Da zusammenfassend aus rein somatischer Sicht eine Umschulung nicht angezeigt ist, die psychische Symptomatik nicht als invalidisierend qualifiziert werden kann und aufgrund dieser Beschwerden keine Notwendigkeit einer Umschulung besteht, besteht kein Anspruch auf Umschulungsmassnahmen. Eine PrÃ¼fung der weiteren Anspruchsvoraussetzungen, insbesondere die Vornahme eines Einkommensvergleichs, erÃ¼brigt sich daher. Vielmehr erweist sich die Beschwerde als unbegrÃ¼ndet, weshalb sie abzuweisen ist.</w:t>
      </w:r>
    </w:p>
    <w:p>
      <w:r>
        <w:t>4.Â Â Â Â Â Â  Soweit der BeschwerdefÃ¼hrer beantragt, die Beschwerdegegnerin sei zur Ãbernahme der Kosten fÃ¼r die Untersuchung von Dr. B.___ (am 20. Januar 2009) zu verpflichten, kann diesem Antrag nicht stattgegeben werden, da die Untersuchung nicht von der Beschwerdegegnerin angeordnet worden war und der gestÃ¼tzt darauf verfasste Bericht von Dr. B.___ vom 27. Januar 2009 (Urk. 4) nichts zur KlÃ¤rung des medizinischen Sachverhalts beitrug.Â Â Â Â Â Â Â Â</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dem BeschwerdefÃ¼hrer aufzuerlegen, jedoch zufolge der GewÃ¤hrung der unentgeltlichen ProzessfÃ¼hrung einstweilen auf die Gerichtskasse zu nehmen.</w:t>
      </w:r>
    </w:p>
    <w:p>
      <w:r>
        <w:t>Das Gericht beschliesst:</w:t>
      </w:r>
    </w:p>
    <w:p>
      <w:r>
        <w:t>Das Gesuch des BeschwerdefÃ¼hrers, die Beschwerdegegnerin sei zur Ãbernahme der Kosten fÃ¼r die Untersuchung von Dr. B.___ zu verpflichten, wird abgewiesen,</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92 ZPO hingewiesen.</w:t>
      </w:r>
    </w:p>
    <w:p>
      <w:r>
        <w:t>3.Â Â 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