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IV.2008.01147 vom 28. Juni 2010</w:t>
      </w:r>
    </w:p>
    <w:p>
      <w:r>
        <w:t>ZH Sozialversicherungsgericht, 2010-06-28, DE</w:t>
      </w:r>
    </w:p>
    <w:p>
      <w:r>
        <w:rPr>
          <w:b/>
        </w:rPr>
        <w:t xml:space="preserve">Quelle: </w:t>
      </w:r>
      <w:r>
        <w:t>https://mcp.opencaselaw.ch/entscheid/zh_sozialversicherungsgericht_IV.2008.01147</w:t>
      </w:r>
    </w:p>
    <w:p>
      <w:r>
        <w:t>FR: ZH_SOZIALVERSICHERUNGSGERICHT IV.2008.01147 du 28 juin 2010</w:t>
      </w:r>
    </w:p>
    <w:p>
      <w:r>
        <w:t>IT: ZH_SOZIALVERSICHERUNGSGERICHT IV.2008.01147 del 28 giugno 2010</w:t>
      </w:r>
    </w:p>
    <w:p>
      <w:pPr>
        <w:pStyle w:val="Heading2"/>
      </w:pPr>
      <w:r>
        <w:t>Erwägungen</w:t>
      </w:r>
    </w:p>
    <w:p>
      <w:r>
        <w:rPr>
          <w:b/>
        </w:rPr>
        <w:t>E. 1</w:t>
      </w:r>
    </w:p>
    <w:p>
      <w:r>
        <w:t>1.1Â Â Â Â  Die Verwaltung hat die massgeblichen Gesetzesbestimmungen Ã¼ber die Voraussetzungen fÃ¼r den Anspruch auf eine Invalidenrente (Art. 28 Abs. 1 des Bundesgesetzes Ã¼ber die Invalidenversicherung, IVG) sowie die Bemessung der InvaliditÃ¤t aufgrund eines Einkommensvergleiches (Art. 16 des Bundesgesetzes Ã¼ber den Allgemeinen Teil des Sozialversicherungsrechts, ATSG), zutreffend dargelegt (Urk. 2 VerfÃ¼gungsteil 2), weshalb mit nachstehenden ErgÃ¤nzungen darauf verwiesen werden kann.</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FÃ¼r die erstmalige Rentenzusprache (Referenzzeitpunkt: Einspracheentscheid vom 7. Januar 2005, Urk. 12/136) beziehungsweise die letztmalige Rentenanpassung (revisionsweise BestÃ¤tigung der Dreiviertelsrente per Mai 2004, Urk. 12/154 S. 11 Ziff. 5.4) stÃ¼tzte sich das EVG auf die folgende medizinische Aktenlage:</w:t>
      </w:r>
    </w:p>
    <w:p>
      <w:r>
        <w:t>2.2Â Â Â Â  Im Schlussbericht der beruflichen AbklÃ¤rungseinrichtung (A.___) vom 13. Februar 2004 (Urk. 12/104) Ã¼ber den Aufenthalt vom 5. bis 27. Januar 2004 wurden folgende Diagnosen gestellt (S. 2):</w:t>
      </w:r>
    </w:p>
    <w:p>
      <w:r>
        <w:t>-Â Â  Zustand nach Frontalkollision/Polytrauma links am 16. Juni 1998</w:t>
      </w:r>
    </w:p>
    <w:p>
      <w:r>
        <w:t>-Â Â  Spondylarthrose/Spondylose L4/L5, konsolidierte Deckplattenimpressionsfraktur LWK 2, lumbosakrale Ãbergangsanomalie</w:t>
      </w:r>
    </w:p>
    <w:p>
      <w:r>
        <w:t>-Â Â  Osteophyt am medialen Malleolus links, in den Gelenkspalt hineinragend.</w:t>
      </w:r>
    </w:p>
    <w:p>
      <w:r>
        <w:t>Â Â Â Â Â Â Â Â Â  Als Eintrittsbefunde (vgl. S. 9) schilderten die Experten eine diskret eingeschrÃ¤nkte Rotationsbewegung des OberkÃ¶rpers nach rechts, einen Endphasenschmerz der WirbelsÃ¤ule bei um einen Drittel eingeschrÃ¤nkter SeitwÃ¤rtsneigung nach links, Endphasenschmerzen bei zur HÃ¤lfte eingeschrÃ¤nkter Inklination, Schober 10/12.5 cm, RÃ¼ttelschmerz Ã¼ber dem Segment L1/2 und Druckdolenz Ã¼ber dem Segment L4/5.</w:t>
      </w:r>
    </w:p>
    <w:p>
      <w:r>
        <w:t>Â Â Â Â Â Â Â Â Â  In neurologischer Hinsicht wurde Ã¼ber DysÃ¤sthesien/TaubheitsgefÃ¼hl am Unterschenkel links ventro-lateral sowie einen beeintrÃ¤chtigten Zehenstand links (mit Schmerzangabe medialseits im Bereich des oberen Sprunggelenkes) berichtet.</w:t>
      </w:r>
    </w:p>
    <w:p>
      <w:r>
        <w:t>Â Â Â Â Â Â Â Â Â  In Bezug auf die ExtremitÃ¤ten schilderten die Fachpersonen eine diskret eingeschrÃ¤nkte Dorsal-/Palmarflexion des rechten Handgelenkes mit Druckdolenz, eine zu einem Drittel eingeschrÃ¤nkte Opposition, wobei das Daumenendgelenk links nicht mehr im selben Ausmass aktiv Ã¼berstreckt werden kÃ¶nne wie das rechte.</w:t>
      </w:r>
    </w:p>
    <w:p>
      <w:r>
        <w:t>Â Â Â Â Â Â Â Â Â  Die HÃ¼ftgelenke seien rechts unauffÃ¤llig, links bestehe ein Endphasenschmerz inguinal bei forcierter Flexion mit Flexion/Extension 120Â°/0Â°/0Â°. Zudem bestehe links eine diskret eingeschrÃ¤nkte Innenrotation und eine zu einem Drittel eingeschrÃ¤nkte Aussenrotation. Das Viererzeichen sei links 34 cm verglichen mit rechts 22 cm. Das obere Sprunggelenk links zeige unter Endphasenschmerzen eine Dorsal-/Plantarflexion von 10Â°/0Â°/35Â° (rechts: 15Â°/0Â°/45Â°).</w:t>
      </w:r>
    </w:p>
    <w:p>
      <w:r>
        <w:t>Â Â Â Â Â Â Â Â Â  Zur ArbeitsfÃ¤higkeit fÃ¼hrten die Experten aus, die angestammte TÃ¤tigkeit sei nicht mehr zumutbar. Aufgrund der AbklÃ¤rungsresultate und der Beurteilung der zumutbaren kÃ¶rperlichen Belastbarkeit kÃ¶nne eine 60%ige ArbeitsfÃ¤higkeit bei behinderungsangepasst leicht belastenden TÃ¤tigkeiten attestiert werden, verwertet wie wÃ¤hrend der AbklÃ¤rung wÃ¤hrend 5-6 Stunden tÃ¤glich, beispielsweise mit verkÃ¼rzter Arbeitszeit am Nachmittag und einer um 1 Stunde verlÃ¤ngerten Mittagspause mit der MÃ¶glichkeit, liegend der Schwellungs-/Ãdemneigung im Bereich des linken RÃ¼ckfusses entgegenzuwirken. Behinderungsangepasst seien kÃ¶rperlich leichte und rÃ¼ckenadaptierte sowie das linke obere Sprunggelenk nur leicht belastende TÃ¤tigkeiten, welche sitzend mit MÃ¶glichkeit zur Wechselbelastung, ebenerdig und bei manuellen Verrichtungen Ã¼berwiegend auf TischhÃ¶he ausÃ¼bbar seien. In rÃ¼ckengerechter Position seien leichtere Gewichtsbelastungen (mÃ¶glichst nicht Ã¼ber 10 kg) zumutbar. Nicht mehr zu empfehlen seien mit starker Vibrationsexposition einhergehende TÃ¤tigkeiten (S. 7).</w:t>
      </w:r>
    </w:p>
    <w:p>
      <w:r>
        <w:t>2.3Â Â Â Â  Die Ãrzte der D.___ Klinik hatten mit Gutachten vom 21. Juni 2002 (Urk. 12/56) unter Hinweis auf Restbeschwerden im linken oberen Sprunggelenk sowie das lumbospondylogene Schmerzsyndrom eine ArbeitsfÃ¤higkeit von 4-6 Stunden pro Tag in einer TÃ¤tigkeit ohne Heben und Tragen von schweren Lasten und ohne Treppensteigen mit wechselnden Positionen attestiert (S. 9).</w:t>
      </w:r>
    </w:p>
    <w:p>
      <w:r>
        <w:t>2.4Â Â Â Â  Zuvor hatten die Ãrzte des Kantonsspitals Z.___ am 6. MÃ¤rz 2001 (Urk. 12/37/3-5) eine vollumfÃ¤ngliche ArbeitsunfÃ¤higkeit im Beruf als Maler sowie in einer kÃ¶rperlich leichten Arbeit mit Heben und Tragen nicht Ã¼ber 10 kg, teilweise sitzend, unter Vermeidung von lÃ¤ngerem Stehen und mit Wechselbelastung, eine 50%ige ArbeitsfÃ¤higkeit attestiert.</w:t>
      </w:r>
    </w:p>
    <w:p>
      <w:r>
        <w:rPr>
          <w:b/>
        </w:rPr>
        <w:t>E. 3</w:t>
      </w:r>
    </w:p>
    <w:p>
      <w:r>
        <w:t>3.1Â Â Â Â  Im revisionsweise eingeholten Bericht von Dr. B.___ vom 14. Dezember 2007 (Urk. 12/177) fÃ¼hrte dieser aus, er kenne den BeschwerdefÃ¼hrer seit dem 12. September 2003 und habe ihn insgesamt sieben Mal gesehen, zuletzt am 4. Dezember 2006. SÃ¤mtliche Konsultationen seien im Rahmen intermittierend verstÃ¤rkter Schmerzen im Bereich des linken Beines und im RÃ¼cken erfolgt mit dem Wunsch nach einer Analgetikainjektion beziehungsweise der Rezeptur neuer Dauerrezepte fÃ¼r Analgetika. Soweit er beurteilen kÃ¶nne, habe sich der Gesundheitszustand insgesamt gegenÃ¼ber den bekannten Befunden des A.___-Schlussberichts vom 17. Februar 2004 nicht verÃ¤ndert. Angaben zur ArbeitsfÃ¤higkeit machte Dr. B.___ keine.</w:t>
      </w:r>
    </w:p>
    <w:p>
      <w:r>
        <w:t>3.2Â Â Â Â  Dr. C.___, welcher den BeschwerdefÃ¼hrer am 14. Mai 2008 untersucht hatte, verwies in seinem Gutachten vom 28. Mai 2008 (Urk. 12/181) vorweg auf die geklagten Beschwerden (Schmerzen paralumbal links mit Ausstrahlungen in den dorsolateralen Oberschenkel links sowie mit stichartigen Schmerzen im Bereich des linken oberen Sprunggelenkes, belastungsabhÃ¤ngige Knieschmerzen, S. 2).</w:t>
      </w:r>
    </w:p>
    <w:p>
      <w:r>
        <w:t>Â Â Â Â Â Â Â Â Â  Als Untersuchungsbefunde schilderte er eine leichte Skoliose der BrustwirbelsÃ¤ule (BWS) und der LendenwirbelsÃ¤ule (LWS), einen lumbalen Schober von 10/15 cm, eine Reklination von 30Â°, Seitneigen nach links 30Â°, nach rechts 20Â°, Torsion nach links 40Â°, nach rechts 30Â°, eine konstante Schmerzangabe im linken GesÃ¤ss mit einem Triggerpoint.</w:t>
      </w:r>
    </w:p>
    <w:p>
      <w:r>
        <w:t>Â Â Â Â Â Â Â Â Â  In neurologischer Hinsicht erwÃ¤hnte er eine SensibilitÃ¤t im Unterschenkel links im Dermatom L4/5 deutlich und im Dermatom L5/S1 leicht herabgesetzt, ohne Paresen und ohne Glutealatrophie (S. 3).</w:t>
      </w:r>
    </w:p>
    <w:p>
      <w:r>
        <w:t>Â Â Â Â Â Â Â Â Â  Im Handgelenk ergab sich eine Dorsal/Plantarflexion von 60-0-60 beidseits sowie eine Radialduktion/Ulnarduktion von 30-0-30 beidseits. Die Daumen und Ã¼brigen Finger waren in Kraft, SensibilitÃ¤t und Beweglichkeit vollstÃ¤ndig unauffÃ¤llig. Betreffend HÃ¼ftgelenk verwies Dr. C.___ auf eine Flexion/Extension rechts von 140-0-0, links 130-0-0 sowie eine Abduktion/Adduktion von 30-0-30 und eine Innen-/Aussenrotation von 40-0-40 beidseits. Das Viererzeichen links sei gegenÃ¼ber rechts diskret eingeschrÃ¤nkt um etwa 5Â°. Im oberen Sprunggelenk zeigte sich eine reizlos verheilte Operationsnarbe ohne grosse SensibilitÃ¤tsstÃ¶rungen (S. 4).</w:t>
      </w:r>
    </w:p>
    <w:p>
      <w:r>
        <w:t>Â Â Â Â Â Â Â Â Â  Dr. C.___ diagnostizierte nebst den bekannten Unfallfolgen eine endgradige BewegungseinschrÃ¤nkung der linken HÃ¼fte, belastungsabhÃ¤ngige lumboradikulÃ¤re Beschwerden links sowie belastungsabhÃ¤ngige Beschwerden am linken oberen Sprunggelenk (S. 5).</w:t>
      </w:r>
    </w:p>
    <w:p>
      <w:r>
        <w:t>Â Â Â Â Â Â Â Â Â  Unter Verweis auf Vorberichte fÃ¼hrte der Gutachter aus, der postoperative Rehabilitationsverlauf sei angesichts der Schwere des erlittenen Unfalles recht befriedigend; auch nach dem Jahre 2002 gebe der BeschwerdefÃ¼hrer tendenziell eine Besserung an. Neben den paralumbalen Schmerzen bestÃ¼nden noch Restbeschwerden im Bereich des linken oberen Sprunggelenkes. Bei der Untersuchung habe sich eine leicht schmerzhaft eingeschrÃ¤nkte Beweglichkeit der LWS sowie sensible, neurologisch radikulÃ¤re Zeichen links im Bereich der Dermatome L4/5 und L5/S1 bei positivem LasÃ¨gue-Zeichen von 70Â° gezeigt (S. 6).</w:t>
      </w:r>
    </w:p>
    <w:p>
      <w:r>
        <w:t>Â Â Â Â Â Â Â Â Â  Dr. C.___ erachtete den BeschwerdefÃ¼hrer in der angestammten TÃ¤tigkeit als Maler als zu 50 % arbeitsunfÃ¤hig. In einer angepassten TÃ¤tigkeit ging er von einer ArbeitsfÃ¤higkeit von 70 bis 75 % aus mit folgendem Belastungsprofil: leichte bis mittelschwere TÃ¤tigkeiten, vornehmlich ausgeÃ¼bt in Wechselbelastung oder vorwiegend sitzend, ohne Tragen und Heben von Lasten Ã¼ber 5 kg pro Seite, ohne lÃ¤nger dauernde vornÃ¼bergeneigte Haltung und ohne symmetrische Lasteinwirkungen (S. 6 f.). Dabei verwies er auf den Umstand, dass der BeschwerdefÃ¼hrer selber ebenfalls eine tendenzielle Verbesserung angebe (S. 8 f.).</w:t>
      </w:r>
    </w:p>
    <w:p>
      <w:r>
        <w:rPr>
          <w:b/>
        </w:rPr>
        <w:t>E. 4.1</w:t>
      </w:r>
    </w:p>
    <w:p>
      <w:r>
        <w:t>4.1.1Â Â  Vorweg ist festzuhalten, dass das Gutachten von Dr. C.___ den praxisgemÃ¤ssen Kriterien an den Beweiswert einer Expertise (vorstehend Erw. 1.3) vollumfÃ¤nglich entspricht. So ist es fÃ¼r die streitigen Belange umfassend, beruht auf den notwendigen Untersuchungen, berÃ¼cksichtigt die geklagten Beschwerden, wurde in Kenntnis der Vorakten abgegeben, leuchtet in der Darlegung der medizinischen ZusammenhÃ¤nge und in der Beurteilung der medizinischen Situation ein und erscheinen die Schlussfolgerungen als begrÃ¼ndet.</w:t>
      </w:r>
    </w:p>
    <w:p>
      <w:r>
        <w:t>4.1.2Â Â  Was der BeschwerdefÃ¼hrer dagegen vorbringt, vermag nicht zu Ã¼berzeugen. Soweit dem Gutachter wegen einer kritischen Bemerkung zur Arbeitsabstinenz seit 2002 Befangenheit unterstellt wird (Urk. 1 S. 5 Mitte), so ist dies unverstÃ¤ndlich. In der Tat schlossen die Ãrzte der D.___ Klinik am 21. Juni 2002 auf eine ArbeitsfÃ¤higkeit des BeschwerdefÃ¼hrers im Umfang von 4-6 Stunden pro Tag in einer angepassten TÃ¤tigkeit (Urk. 12/56 S. 9) und hoben die Spezialisten der A.___ am 13. Februar 2004 diese EinschÃ¤tzung - aufgrund der verbesserten Situation - gar auf 5-6 Stunden pro Tag an (Urk. 12/104 S. 7). Der Gutachter wÃ¼rdigte demgemÃ¤ss bloss die medizinische und erwerbliche Aktenlage in kritischer Weise, womit er seine ProfessionalitÃ¤t und Umsicht bewies. Der BeschwerdefÃ¼hrer liess auch beschwerdeweise noch jegliche BegrÃ¼ndung fÃ¼r seine Arbeitsabstinenz vermissen.</w:t>
      </w:r>
    </w:p>
    <w:p>
      <w:r>
        <w:t>Â Â Â Â Â Â Â Â Â  Dass sich der Gutachter vorweg mit der frÃ¼heren EinschÃ¤tzung der Ãrzte der D.___ Klinik aus dem Jahr 2002 und nicht mit dem A.___-Bericht aus dem Jahr 2004 auseinander setzte (Urk. 1 S. 7 f.), mag wohl an der medizinischen BegrÃ¼ndungsdichte der entsprechenden EinschÃ¤tzungen liegen. Inwiefern dies unerklÃ¤rlich sein soll, leuchtet nicht ein.</w:t>
      </w:r>
    </w:p>
    <w:p>
      <w:r>
        <w:t>Â Â Â Â Â Â Â Â Â  Der im Gutachten nicht erwÃ¤hnte Osteophyt im Bereich des oberen Sprunggelenkes (Urk. 1 S. 8, vgl. Urk. 12/104 S. 2 Diagnose letzter Punkt) tut dem Beweiswert der Expertise insofern keinen Abbruch, als dass die Fussproblematik eingehend beurteilt und anhand von Untersuchungen verifiziert wurde (Urk. 12/181 S. 5). Diese Anomalie ging denn aufgrund der Aktenlage auch bislang - fÃ¼r sich - mit keiner relevanten Auswirkung auf die ArbeitsfÃ¤higkeit einher.</w:t>
      </w:r>
    </w:p>
    <w:p>
      <w:r>
        <w:t>Â Â Â Â Â Â Â Â Â  Schliesslich ist die Attestierung einer 50%igen ArbeitsfÃ¤higkeit als Maler (Urk. 1 S. 8) insofern nachvollziehbar, als Dr. C.___ das notwendige Stellenprofil ausfÃ¼hrlich schilderte. Dabei versteht es sich ohne weiteres, dass keine schweren GegenstÃ¤nde mehr gehoben werden kÃ¶nnen und damit ein erheblicher Teil des Stelleninhalts als Maler nicht mehr ausgefÃ¼hrt werden kann.</w:t>
      </w:r>
    </w:p>
    <w:p>
      <w:r>
        <w:t>4.2Â Â Â Â  Zur relevanten Frage der VerÃ¤nderung des Gesundheitszustandes des BeschwerdefÃ¼hrers (Januar 2005 bis November 2008) ist den Akten Folgendes zu entnehmen:</w:t>
      </w:r>
    </w:p>
    <w:p>
      <w:r>
        <w:t>Â Â Â Â Â Â Â Â Â  In Bezug auf die WirbelsÃ¤ulenproblematik war anlÃ¤sslich der letzten ursprÃ¼nglichen medizinischen Berichterstattung (Februar 2004) von einer diskret eingeschrÃ¤nkten Rotationsbewegung des OberkÃ¶rpers die Rede mit Endphasenschmerz der WirbelsÃ¤ule. Auch Dr. C.___ berichtete (2008) Ã¼ber eine eingeschrÃ¤nkte WirbelsÃ¤ulenbeweglichkeit mit entsprechenden Grad-Angaben, welche den bisher bekannten Werten etwa entsprechen.</w:t>
      </w:r>
    </w:p>
    <w:p>
      <w:r>
        <w:t>Â Â Â Â Â Â Â Â Â  In neurologischer Hinsicht wurden im A.___-Bericht vorweg Schmerzen im oberen Sprunggelenk geschildert, wÃ¤hrenddem Dr. C.___ belastungsabhÃ¤ngige Beschwerden im oberen linken Sprunggelenk erwÃ¤hnte. Namentlich fand die Schwellungs-/Ãdemneigung im Bereich des linken RÃ¼ckfusses keinen Eingang mehr in die Beurteilung. Daraus ist zu schliessen, dass sich eine entsprechende Besserung einstellte. Diese Schwellungsproblematik hatte bislang dazu gefÃ¼hrt, dem BeschwerdefÃ¼hrer vermehrte Pausen zuzugestehen, damit er seinen Fuss hochlagern kann. Dies ist neuerdings offenbar nicht mehr im selben Ausmass notwendig. Soweit Dr. C.___ eine SensibilitÃ¤t im Unterschenkel links nannte, ist dies mit dem bislang beschriebenen Befund von DysÃ¤sthesien/TaubheitsgefÃ¼hl nicht vergleichbar.</w:t>
      </w:r>
    </w:p>
    <w:p>
      <w:r>
        <w:t>Â Â Â Â Â Â Â Â Â  Auch die Situation im rechten Handgelenk hat sich verbessert: Die A.___-Spezialisten berichteten von einer eingeschrÃ¤nkten Flexion sowie Opposition mit Druckdolenz sowie verminderter Ãberstreckbarkeit des Daumenendgelenkes. AnlÃ¤sslich der Untersuchung bei Dr. C.___ zeigte sich eine identische Flexions- und AbduktionsfÃ¤higkeit links/rechts sowie seitengleiche Befunde betreffend Kraft, SensibilitÃ¤t und Beweglichkeit der Finger samt Daumen.</w:t>
      </w:r>
    </w:p>
    <w:p>
      <w:r>
        <w:t>Â Â Â Â Â Â Â Â Â  Die linke HÃ¼fte zeigte im Jahr 2004 eine erheblich eingeschrÃ¤nkte Rotation sowie ein massiv positives Viererzeichen (34 cm links verglichen mit 22 cm rechts). Bei der Untersuchung durch Dr. C.___ war dann die Flexion/Extension praktisch seitengleich wie auch die Abduktion/Adduktion sowie die Innen-/Aussenrotation. Das Viererzeichen war links nur noch diskret positiv (5Â° Differenz). Damit ist eine klare Verbesserung der Situation in der linken HÃ¼fte festzustellen.</w:t>
      </w:r>
    </w:p>
    <w:p>
      <w:r>
        <w:t>4.3Â Â Â Â  Angesichts der dargelegten Untersuchungsbefunde ist erstellt, dass sich der Gesundheitszustand des BeschwerdefÃ¼hrers mittlerweile erheblich verbessert hat. Wohl klagt er weiterhin Ã¼ber RÃ¼ckenschmerzen und Beschwerden im linken oberen Sprunggelenk, doch ist namentlich in Bezug auf die Handproblematik und die linke HÃ¼fte eine klare Besserung eingetreten. Das bisherige ArbeitsunfÃ¤higkeitsattest von 40 % stÃ¼tzte sich sodann namentlich auf auftretende Schwellungen bei langem Stehen, welche Problematik sich unterdessen zurÃ¼ckgebildet hat. Damit ist es nicht zu beanstanden, wenn Dr. C.___ von einer Steigerung der ArbeitsfÃ¤higkeit von 60 % auf 70 bis 75 % ausging. Ausgehend von einer durchschnittlichen Arbeitszeit von 41.7 Stunden pro Woche im massgebenden Jahr 2008 (Die Volkswirtschaft 5-2010 S. 86 Tabelle B 9.2) ergibt sich bei einer mÃ¶glichen ArbeitstÃ¤tigkeit von fÃ¼nf bis sechs Stunden pro Tag ein Pensum von 60 bis 72 %. Wenn Dr. C.___ einen Wert von 70 bis 75 % nannte, so ist seine EinschÃ¤tzung derart zu verstehen, dass sicherlich eine ArbeitsfÃ¤higkeit von 70 % gegeben ist. Damit ist gegenÃ¼ber der EinschÃ¤tzung der A.___ (bloss 60%ige ArbeitsfÃ¤higkeit) eine relevante Steigerung zu verzeichnen. Anzumerken bleibt, dass invalidenversicherungsrechtlich einzig erheblich ist, ob und in welchem Mass eine BeeintrÃ¤chtigung der ErwerbsfÃ¤higkeit - und zwar unabhÃ¤ngig von der Diagnose und grundsÃ¤tzlich unbesehen der Ãtiologie - ausgewiesen ist (Urteil des Bundesgerichts vom 5. Februar 2007, I 817/05, Erw. 7.1.2, mit Hinweis auf BGE 127 V 298 Erw. 4c). Vorliegend ist eine solche Verbesserung erstellt.</w:t>
      </w:r>
    </w:p>
    <w:p>
      <w:r>
        <w:t>Â Â Â Â Â Â Â Â Â  Dass Dr. B.___ von einem unverÃ¤nderten Zustand ausging (Urk. 12/177), vermag an dieser EinschÃ¤tzung nichts zu Ã¤ndern, stÃ¼tzte er sich doch offenbar ausschliesslich auf die Angaben des BeschwerdefÃ¼hrers und fand keine regelmÃ¤ssige Behandlung statt.</w:t>
      </w:r>
    </w:p>
    <w:p>
      <w:r>
        <w:t>Â Â Â Â Â Â Â Â Â  Angesichts der klaren medizinischen Aktenlage kann von weiteren AbklÃ¤rungen - namentlich einer neuen Begutachtung durch die A.___ - abgesehen werden, sind doch davon keine abweichenden Resultate zu erwarten.</w:t>
      </w:r>
    </w:p>
    <w:p>
      <w:r>
        <w:rPr>
          <w:b/>
        </w:rPr>
        <w:t>E. 5</w:t>
      </w:r>
    </w:p>
    <w:p>
      <w:r>
        <w:t>5.1Â Â Â Â  Zu prÃ¼fen bleibt, wie sich die nunmehr bestehende EinschrÃ¤nkung in der ArbeitsfÃ¤higkeit in erwerblicher Hinsicht auswirkt.</w:t>
      </w:r>
    </w:p>
    <w:p>
      <w:r>
        <w:t>5.2Â Â Â Â  Das Valideneinkommen wurde vom Bundesgericht auf Fr. 69'550.-- (Wert 2004) festgelegt (Urk. 12/154 S. 9 Erw. 4.3.2). Da im Gesundheitsfall von einer unverÃ¤nderten erwerblichen Situation auszugehen ist, ergibt sich unter BerÃ¼cksichtigung der Nominallohnentwicklung bis ins Jahr 2008 von 5.9 % (von Index 1975 auf Index 2092, Die Volkswirtschaft 5-2010 S. 87 Tabelle B 10.3) ein Valideneinkommen von Fr. 73'653.--.</w:t>
      </w:r>
    </w:p>
    <w:p>
      <w:r>
        <w:t>5.3Â Â Â Â  FÃ¼r die Ermittlung des Invalideneinkommens ist auf die TabellenlÃ¶hne des Bundesamtes fÃ¼r Statistik (LSE) abzustellen. Ausgehend vom Anforderungsniveau 4 ergibt sich bei einer wÃ¶chentlichen Arbeitszeit ein Lohn von Fr. 4'806.-- (LSE 2008 S. 11 Tabelle TA1), was auf die betriebsÃ¼bliche Arbeitszeit von 41.6 Stunden im Jahr 2008 aufgerechnet einem Verdienst von Fr. 4'998.-- im Monat oder Fr. 59'976.-- im Jahr entspricht. Da der BeschwerdefÃ¼hrer noch zu 70 % arbeitsfÃ¤hig ist, reduziert sich das mÃ¶gliche Einkommen auf Fr. 41'983.--. Wenn man mit dem Bundesgericht von einem Tabellenlohnabzug von 20 % ausgehen wollte, ergibt sich ein Invalideneinkommen von Fr. 33'586.--.</w:t>
      </w:r>
    </w:p>
    <w:p>
      <w:r>
        <w:t>5.4Â Â Â Â  Der Vergleich des Valideneinkommens von Fr. 73'653.-- mit dem Invalideneinkommen von Fr. 33'586.-- ergibt eine behinderungsbedingte Lohneinbusse von Fr. 40'067.-- und damit einen InvaliditÃ¤tsgrad von 54.4 %. Damit steht dem BeschwerdefÃ¼hrer nurmehr eine halbe Rente der Invalidenversicherung zu, weshalb sich die angefochtene VerfÃ¼gung als rechtens erweist und die Beschwerde abzuweisen ist.</w:t>
      </w:r>
    </w:p>
    <w:p>
      <w:r>
        <w:t>6.Â Â Â Â Â Â  Die Verfahrenskosten gemÃ¤ss Art. 69 Abs. 1 bis IVG sind ermessensweise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Marcus Wiegand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