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IV.2008.00755 vom 17. März 2010</w:t>
      </w:r>
    </w:p>
    <w:p>
      <w:r>
        <w:t>ZH Sozialversicherungsgericht, 2010-03-17, DE</w:t>
      </w:r>
    </w:p>
    <w:p>
      <w:r>
        <w:rPr>
          <w:b/>
        </w:rPr>
        <w:t xml:space="preserve">Quelle: </w:t>
      </w:r>
      <w:r>
        <w:t>https://mcp.opencaselaw.ch/entscheid/zh_sozialversicherungsgericht_IV.2008.00755</w:t>
      </w:r>
    </w:p>
    <w:p>
      <w:r>
        <w:t>FR: ZH_SOZIALVERSICHERUNGSGERICHT IV.2008.00755 du 17 mars 2010</w:t>
      </w:r>
    </w:p>
    <w:p>
      <w:r>
        <w:t>IT: ZH_SOZIALVERSICHERUNGSGERICHT IV.2008.00755 del 17 marzo 2010</w:t>
      </w:r>
    </w:p>
    <w:p>
      <w:pPr>
        <w:pStyle w:val="Heading2"/>
      </w:pPr>
      <w:r>
        <w:t>Erwägungen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5.2Â Â Â Â  AusgangsgemÃ¤ss steht der BeschwerdefÃ¼hrerin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2'000.-- (inkl. Mehrwertsteuer und Barauslagen) festzusetzen ist.</w:t>
      </w:r>
    </w:p>
    <w:p>
      <w:r>
        <w:t>Das Gericht erkennt:</w:t>
      </w:r>
    </w:p>
    <w:p>
      <w:r>
        <w:t>1.Â Â Â Â Â Â Â Â  In Gutheissung der Beschwerde wird die angefochtene VerfÃ¼gung vom 12. Juni 2008 aufgehoben und es wird festgestellt, dass die BeschwerdefÃ¼hrerin weiterhin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Zustellung gegen Empfangsschein an:</w:t>
      </w:r>
    </w:p>
    <w:p>
      <w:r>
        <w:t>- Rechtsanwalt George Hunziker</w:t>
      </w:r>
    </w:p>
    <w:p>
      <w:r>
        <w:t>- Sozialversicherungsanstalt des Kantons ZÃ¼rich, IV-Stelle</w:t>
      </w:r>
    </w:p>
    <w:p>
      <w:r>
        <w:t>- Bundesamt fÃ¼r Sozialversicherungen</w:t>
      </w:r>
    </w:p>
    <w:p>
      <w:r>
        <w:t>- Pensionskasse ABB, c/o ABB Vorsorge AG, Brown Boveri Strasse 12, 5401 Baden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