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IV.2008.00645 vom 16. November 2009</w:t>
      </w:r>
    </w:p>
    <w:p>
      <w:r>
        <w:t>ZH Sozialversicherungsgericht, 2009-11-16, DE</w:t>
      </w:r>
    </w:p>
    <w:p>
      <w:r>
        <w:rPr>
          <w:b/>
        </w:rPr>
        <w:t xml:space="preserve">Quelle: </w:t>
      </w:r>
      <w:r>
        <w:t>https://mcp.opencaselaw.ch/entscheid/zh_sozialversicherungsgericht_IV.2008.00645</w:t>
      </w:r>
    </w:p>
    <w:p>
      <w:r>
        <w:t>FR: ZH_SOZIALVERSICHERUNGSGERICHT IV.2008.00645 du 16 novembre 2009</w:t>
      </w:r>
    </w:p>
    <w:p>
      <w:r>
        <w:t>IT: ZH_SOZIALVERSICHERUNGSGERICHT IV.2008.00645 del 16 novembre 2009</w:t>
      </w:r>
    </w:p>
    <w:p>
      <w:pPr>
        <w:pStyle w:val="Heading2"/>
      </w:pPr>
      <w:r>
        <w:t>Erwägungen</w:t>
      </w:r>
    </w:p>
    <w:p>
      <w:r>
        <w:rPr>
          <w:b/>
        </w:rPr>
        <w:t>E. 3</w:t>
      </w:r>
    </w:p>
    <w:p>
      <w:r>
        <w:t>3.1Â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400.-- anzusetzen. Sie sind der Beschwerdegegnerin aufzuerlegen.</w:t>
      </w:r>
    </w:p>
    <w:p>
      <w:r>
        <w:t>3.2Â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In Anwendung dieser GrundsÃ¤tze erweist sich eine ProzessentschÃ¤digung von Fr. 600.-- (inkl. Barauslagen und Mehrwertsteuer) als angemessen.</w:t>
      </w:r>
    </w:p>
    <w:p>
      <w:r>
        <w:t>Der Einzelrichter erkennt:</w:t>
      </w:r>
    </w:p>
    <w:p>
      <w:r>
        <w:t>1.Â Â Â Â Â Â Â Â  In Gutheissung der Beschwerde wird die VerfÃ¼gung der Sozialversicherungsanstalt des Kantons ZÃ¼rich, IV-Stelle, vom 19. Mai 2008 aufgehoben, und es wird festgestellt, dass der BeschwerdefÃ¼hrer Anspruch auf den beantragten ARMON Office rechts hat.</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600.-- (inkl. Barauslagen und MWSt) zu bezahlen.</w:t>
      </w:r>
    </w:p>
    <w:p>
      <w:r>
        <w:t>4.Â Â 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