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IV.2008.00597 vom 18. Mai 2010</w:t>
      </w:r>
    </w:p>
    <w:p>
      <w:r>
        <w:t>ZH Sozialversicherungsgericht, 2010-05-18, DE</w:t>
      </w:r>
    </w:p>
    <w:p>
      <w:r>
        <w:rPr>
          <w:b/>
        </w:rPr>
        <w:t xml:space="preserve">Quelle: </w:t>
      </w:r>
      <w:r>
        <w:t>https://mcp.opencaselaw.ch/entscheid/zh_sozialversicherungsgericht_IV.2008.00597</w:t>
      </w:r>
    </w:p>
    <w:p>
      <w:r>
        <w:t>FR: ZH_SOZIALVERSICHERUNGSGERICHT IV.2008.00597 du 18 mai 2010</w:t>
      </w:r>
    </w:p>
    <w:p>
      <w:r>
        <w:t>IT: ZH_SOZIALVERSICHERUNGSGERICHT IV.2008.00597 del 18 maggio 2010</w:t>
      </w:r>
    </w:p>
    <w:p>
      <w:pPr>
        <w:pStyle w:val="Heading2"/>
      </w:pPr>
      <w:r>
        <w:t>Erwägungen</w:t>
      </w:r>
    </w:p>
    <w:p>
      <w:r>
        <w:rPr>
          <w:b/>
        </w:rPr>
        <w:t>E. 2</w:t>
      </w:r>
    </w:p>
    <w:p>
      <w:r>
        <w:t>2.1Â Â Â Â  GemÃ¤ss Art. 21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 (Abs. 1). Die Hilfsmittel werden zu Eigentum oder leihweise in einfacher und zweckmÃ¤ssiger AusfÃ¼hrung abgegeben oder pauschal vergÃ¼tet (Absatz 3, erster Satz).</w:t>
      </w:r>
    </w:p>
    <w:p>
      <w:r>
        <w:t>Â Â Â Â Â Â Â Â Â  Die Befugnis zur Aufstellung der Hilfsmittelliste und zum Erlass ergÃ¤nzender Vorschriften im Sinne von Art. 21 Abs. 4 IVG hat der Bundesrat in Art. 14 IVV an das EidgenÃ¶ssische Departement des Innern Ã¼bertragen, welches die Verordnung Ã¼ber die Abgabe von Hilfsmitteln durch die Invalidenversicherung (HVI) mit anhangsweise aufgefÃ¼hrter Hilfsmittelliste erlassen hat. Laut Art. 2 Abs. 1 HVI besteht im Rahmen der im Anhang aufgefÃ¼hrten Liste Anspruch auf Hilfsmittel, soweit diese fÃ¼r die Fortbewegung, die Herstellung des Kontaktes mit der Umwelt oder fÃ¼r die Selbstsorge notwendig sind.</w:t>
      </w:r>
    </w:p>
    <w:p>
      <w:r>
        <w:t>2.2Â Â Â Â  Die bereits in den dem KSHI vorangegangenen Verwaltungsweisungen enthaltene Frist von sechs Jahren orientiert sich an der zu erwartenden Lebensdauer des Fahrzeugs (BGE 119 V 255, Erw. 4b/aa, S. 261); gleiches gilt fÃ¼r den in Rz 10.04* HVI Anhang geregelten Amortisationsbeitrag (BGE 131 V 167 Erw. 4.1.1, S. 171).</w:t>
      </w:r>
    </w:p>
    <w:p>
      <w:r>
        <w:t>Â Â Â Â Â Â Â Â Â  Die pro rata-VergÃ¼tung fÃ¼r den Fall, dass ein Wagenwechsel vor Ablauf dieser sechs Jahre erfolgt, soll eine Schranke darstellen gegen die Belastung der Invalidenversicherung Âdurch ungerechtfertigte frÃ¼hzeitige WagenwechselÂ (BGE 119 V 255 Erw. 4c/aa, S. 262 f.).</w:t>
      </w:r>
    </w:p>
    <w:p>
      <w:r>
        <w:t>Â Â Â Â Â Â Â Â Â  Das in frÃ¼heren Fassungen von Rz 10.05 HVI Anhang enthaltene Kriterium der VolljÃ¤hrigkeit der versicherten Person stand als Âungeachtet der UmstÃ¤nde des Einzelfalles, insbesondere des Gesundheitszustandes und der daraus sich ergebenden invaliditÃ¤tsbedingten Notwendigkeit der AbÃ¤nderung eines MotorfahrzeugesÂ geltendes Anspruchserfordernis im Widerspruch zur klaren gesetzlichen Ordnung (BGE 126 V 70 Erw. 4b/bb, S. 72 f.).</w:t>
      </w:r>
    </w:p>
    <w:p>
      <w:r>
        <w:t>2.3Â Â Â Â  GemÃ¤ss Art. 17 Abs. 2 des Bundesgesetzes Ã¼ber den Allgemeinen Teil des Sozialversicherungsrechts (ATSG) wird nebst der Invalidenrente jede andere formell rechtskrÃ¤ftig zugesprochene Dauerleistung von Amtes wegen oder auf Gesuch hin erhÃ¶ht, herabgesetzt oder aufgehoben, wenn sich der ihr zu Grunde liegende Sachverhalt nachtrÃ¤glich erheblich verÃ¤ndert hat.</w:t>
      </w:r>
    </w:p>
    <w:p>
      <w:r>
        <w:t>Â Â Â Â Â Â Â Â Â  Aus den Materialien ergibt sich die Absicht des Gesetzgebers, mit der Regelung in Art. 17 ATSG den bisherigen Rechtszustand fortzufÃ¼hren (BGE 133 V 57 Erw. 6.5.2, S. 63); schon gemÃ¤ss der frÃ¼heren Praxis (BGE 113 V 22 Erw. 3b S. 27) galten fÃ¼r Eingliederungsmassnahmen analoge Revisionsvoraussetzungen wie fÃ¼r Renten (BGE 135 I 161 Erw. 4.2, S. 165).</w:t>
      </w:r>
    </w:p>
    <w:p>
      <w:r>
        <w:t>2.4Â Â Â Â  Es kann nicht zweifelhaft sein, dass bei einem Widerspruch zwischen der gesetzlichen Ordnung der Leistungsanpassung bei erheblich geÃ¤nderten UmstÃ¤nden und allfÃ¤lligen auf der Stufe von Verwaltungsweisungen vorgesehenen EinschrÃ¤nkungen die gesetzliche Regelung Vorrang hat. Der Vorrang des Gesetzes kann unter UmstÃ¤nden auch so gewÃ¤hrleistet werden, dass die Verwaltungsweisung gesetzeskonform ausgelegt und angewendet wird.</w:t>
      </w:r>
    </w:p>
    <w:p>
      <w:r>
        <w:t>2.5Â Â Â Â  Die Regelung in Rz 10.05.2 KHMI dient dem Schutz der Versicherung vor ungerechtfertigter Inanspruchnahme. Versicherte, deren Fahrzeug invaliditÃ¤tsbedingt und damit auf Kosten der Versicherung abgeÃ¤ndert werden muss, sollen wÃ¤hrend jedenfalls sechs Jahren das einmal abgeÃ¤nderte Fahrzeug benutzen. Es soll nicht (vollumfÃ¤nglich) Sache der Versicherung sein, die gleiche Anpassung erneut zu finanzieren, wenn Versicherte vor Ablauf der Ã¼blichen Verwendungsdauer das Fahrzeug wechseln.</w:t>
      </w:r>
    </w:p>
    <w:p>
      <w:r>
        <w:t>Â Â Â Â Â Â Â Â Â  Diese Regelung ist einleuchtend und nicht zu beanstanden. Sie kann aber nur fÃ¼r vorzeitige Fahrzeugwechsel gelten, die aus invaliditÃ¤tsfremden GrÃ¼nden und damit versicherungsrechtlich sozusagen grundlos erfolgen.</w:t>
      </w:r>
    </w:p>
    <w:p>
      <w:r>
        <w:t>2.6Â Â Â Â  Ãndert sich der massgebliche Sachverhalt, so ist (auch) der Hilfsmittelanspruch neu zu Ã¼berprÃ¼fen. Die PrÃ¼fung kann ergeben, dass Anspruch auf ein anderes oder auch auf ein zusÃ¤tzliches Hilfsmittel besteht. Ergibt die PrÃ¼fung (bei Motorfahrzeugen), dass ein anderer Fahrzeugtyp erforderlich ist, um der Behinderung gerecht zu werden, so besteht gemÃ¤ss Art. 17 Abs. 2 ATSG revisionsweise Anspruch auf die entsprechenden Eingliederungsmassnahmen, mithin die nÃ¶tige Anpassung des Fahrzeugs an die behinderungsbedingten BedÃ¼rfnisse der versicherten Person.</w:t>
      </w:r>
    </w:p>
    <w:p>
      <w:r>
        <w:t>Â Â Â Â Â Â Â Â Â  Mit der frÃ¼heren Anpassung des bislang - aber nicht lÃ¤nger - geeigneten Fahrzeugtyps hat dies nichts zu tun, weshalb eine SchmÃ¤lerung des revisionsweise ermittelten Anspruchs durch eine anteilige Anrechnung frÃ¼her aufgewendeter Kosten in einer solchen Konstellation nicht in Frage kommt.</w:t>
      </w:r>
    </w:p>
    <w:p>
      <w:r>
        <w:rPr>
          <w:b/>
        </w:rPr>
        <w:t>E. 3</w:t>
      </w:r>
    </w:p>
    <w:p>
      <w:r>
        <w:t>3.1Â Â Â Â  Im August 2004 Ã¼bernahm die Beschwerdegegnerin die Kosten fÃ¼r behinderungsbedingte Anpassungen am damaligen Fahrzeug (Peugeot 206) der BeschwerdefÃ¼hrerin (Urk. 8/25).</w:t>
      </w:r>
    </w:p>
    <w:p>
      <w:r>
        <w:t>Â Â Â Â Â Â Â Â Â  Am 19. September 2005 verfÃ¼gte das Strassenverkehrsamt den Einbau einer Handstossbremse (Urk. 8/105); die entsprechenden Kosten wurden im August 2006 von der Beschwerdegegnerin Ã¼bernommen.</w:t>
      </w:r>
    </w:p>
    <w:p>
      <w:r>
        <w:t>3.2Â Â Â Â  Ab FrÃ¼hjahr 2005 war die BeschwerdefÃ¼hrerin zunehmend auf einen Rollstuhl angewiesen. UrsprÃ¼nglich brachte sie ihn im Kofferraum unter, musste ihn aber sodann auf dem Beifahrersitz transportieren und beim Ein- und Ausladen Ã¼ber sich hinweg heben (Urk. 8/180 S. 1 Mitte).</w:t>
      </w:r>
    </w:p>
    <w:p>
      <w:r>
        <w:t>Â Â Â Â Â Â Â Â Â  Am 25. Januar 2007 verfÃ¼gte das Strassenverkehrsamt die AusrÃ¼stung mit einer Rollstuhlverladehilfe (Urk. 8/181).</w:t>
      </w:r>
    </w:p>
    <w:p>
      <w:r>
        <w:t>Â Â Â Â Â Â Â Â Â  Am 14. April 2007 fÃ¼hrte Dr. med. Y.___, Innere Medizin FMH, aus, wegen der Zunahme der Armparese links und der Verschlechterung der RumpfstabilitÃ¤t benÃ¶tige die BeschwerdefÃ¼hrerin ein grÃ¶sseres Auto zum Einladen des Rollstuhls (Urk. 8/192 Ziff. 4.3).</w:t>
      </w:r>
    </w:p>
    <w:p>
      <w:r>
        <w:t>Â Â Â Â Â Â Â Â Â  Auf Anfrage der Beschwerdegegnerin wurde von Seiten der SHAB, Hilfsmittelberatung fÃ¼r Behinderte, am 13. Juni 2007 ausgefÃ¼hrt, 2004 sei nicht vorhersehbar gewesen, dass die BeschwerdefÃ¼hrerin nach kurzer Zeit einen Rollstuhl benÃ¶tigen werde. Das jetzige Auto kÃ¶nne als ZweiplÃ¤tzer den Anforderungen, die sich aus dem nicht vorhersehbar gewesenen Krankheitsverlauf ergÃ¤ben, nicht angepasst werden (Urk. 8/203 S. 1).</w:t>
      </w:r>
    </w:p>
    <w:p>
      <w:r>
        <w:t>Â Â Â Â Â Â Â Â Â  Mit VerfÃ¼gung vom 4. Juli 2007 sprach die Beschwerdegegnerin der BeschwerdefÃ¼hrerin eine HilflosenentschÃ¤digung zu (Urk. 8/215), wobei sie von einer leichten Hilflosigkeit ab Februar 2004 und einer mittleren ab April 2005 ausging (Urk. 8/208).</w:t>
      </w:r>
    </w:p>
    <w:p>
      <w:r>
        <w:t>4.Â Â Â Â Â Â</w:t>
      </w:r>
    </w:p>
    <w:p>
      <w:r>
        <w:t>4.1Â Â Â Â  Aus den dargelegten Fakten ergibt sich mit aller Deutlichkeit, dass sich der Gesundheitszustand der BeschwerdefÃ¼hrerin seit der erstmaligen Anpassung ihres Fahrzeugs erheblich verschlechtert hat.</w:t>
      </w:r>
    </w:p>
    <w:p>
      <w:r>
        <w:t>Â Â Â Â Â Â Â Â Â  Ebenso ist erstellt, dass es nicht mÃ¶glich ist, den bisher benutzten Kleinwagen den Anforderungen gemÃ¤ss abzuÃ¤ndern, die sich aus dem gestiegenen Ausmass der Behinderung ergeben, sondern dass dafÃ¼r ein anderer Fahrzeugtyp wie namentlich der zwischenzeitlich von der BeschwerdefÃ¼hrerin angeschaffte Opel Zafira erforderlich ist.</w:t>
      </w:r>
    </w:p>
    <w:p>
      <w:r>
        <w:t>Â Â Â Â Â Â Â Â Â  Damit steht fest, dass die BeschwerdefÃ¼hrerin Anspruch darauf hat, dass ihr Hilfsmittelanspruch revisionsweise Ã¼berprÃ¼ft und angepasst wird.</w:t>
      </w:r>
    </w:p>
    <w:p>
      <w:r>
        <w:t>4.2Â Â Â Â  Sodann ist es die Behinderung, und nicht irgendein invaliditÃ¤tsfremder Grund, welche die BeschwerdefÃ¼hrerin nÃ¶tigt, das Fahrzeug vor Ablauf der sechsjÃ¤hrigen Ã¼blichen Verwendungszeit zu wechseln.</w:t>
      </w:r>
    </w:p>
    <w:p>
      <w:r>
        <w:t>Â Â Â Â Â Â Â Â Â  Damit steht fest, dass der Vorbehalt von Rz 10.05.2 KHMI, der die ungerechtfertigte Beanspruchung der Versicherung bei einem vorzeitigen Fahrzeugwechsel aus invaliditÃ¤tsfremden GrÃ¼nden verhindern soll, keine Anwendung findet.</w:t>
      </w:r>
    </w:p>
    <w:p>
      <w:r>
        <w:t>4.3Â Â Â Â  Der Standpunkt der Beschwerdegegnerin erweist sich somit als unhaltbar und die angefochtene VerfÃ¼gung ist in Gutheissung der Beschwerde dahingehend abzuÃ¤ndern, dass der Umfang der Kostengutsprache Fr. 16Â925.50 betrÃ¤gt.</w:t>
      </w:r>
    </w:p>
    <w:p>
      <w:r>
        <w:rPr>
          <w:b/>
        </w:rPr>
        <w:t>E. 5</w:t>
      </w:r>
    </w:p>
    <w:p>
      <w:r>
        <w:t>5.1Â Â Â Â  Die Verfahrenskosten im Sinne von Art. 69 Abs. 1 bis IVG sind ermessensweise auf Fr. 800.-- festzusetzen und ausgangsgemÃ¤ss der Beschwerdegegnerin aufzuerlegen.</w:t>
      </w:r>
    </w:p>
    <w:p>
      <w:r>
        <w:t>5.2Â Â Â Â  Der obsiegenden und anwaltlich vertretenen BeschwerdefÃ¼hrerin steht eine ProzessentschÃ¤digung zu, die beim praxisgemÃ¤ssen Stundenansatz von Fr. 200.-- (zuzÃ¼glich Mehrwertsteuer) auf Fr. 1Â300.-- (inklusive Barauslagen und Mehrwertsteuer) zu bemessen ist.</w:t>
      </w:r>
    </w:p>
    <w:p>
      <w:r>
        <w:t>Â Â Â Â Â Â Â Â Â</w:t>
      </w:r>
    </w:p>
    <w:p>
      <w:r>
        <w:t>Das Gericht erkennt:</w:t>
      </w:r>
    </w:p>
    <w:p>
      <w:r>
        <w:t>1.Â Â Â Â Â Â Â Â  In Gutheissung der Beschwerde wird die VerfÃ¼gung der Sozialversicherungsanstalt des Kantons ZÃ¼rich, IV-Stelle, vom 5. Mai 2008 dahingehend abgeÃ¤ndert, dass die Kosten von Fr. 16'925.50 fÃ¼r invaliditÃ¤tsbedingte Ãnderungen am Motorfahrzeug Opel Zafira Ã¼bernommen werden.</w:t>
      </w:r>
    </w:p>
    <w:p>
      <w:r>
        <w:t>2.Â Â Â Â Â Â Â Â  Die Gerichtskosten von Fr. 800.-- werden der Beschwerdegegnerin auferlegt. Rechnung und Einzahlungsschein werden der Kostenpflichtigen nach Eintritt der Rechtskraft zugestellt.</w:t>
      </w:r>
    </w:p>
    <w:p>
      <w:r>
        <w:t>3.Â Â Â Â Â Â Â Â  Die BeschwerdefÃ¼hrerin wird verpflichtet, der BeschwerdefÃ¼hrerin eine ProzessentschÃ¤digung von Fr. 1'300.-- (inkl. Barauslagen und MWSt) zu bezahlen.</w:t>
      </w:r>
    </w:p>
    <w:p>
      <w:r>
        <w:t>4.Â Â Â Â Â Â Â Â  Zustellung gegen Empfangsschein an:</w:t>
      </w:r>
    </w:p>
    <w:p>
      <w:r>
        <w:t>- Rechtsanwalt Dr. Michael Weissberg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