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IV.2008.00482 vom 27. Februar 2009</w:t>
      </w:r>
    </w:p>
    <w:p>
      <w:r>
        <w:t>ZH Sozialversicherungsgericht, 2009-02-27, DE</w:t>
      </w:r>
    </w:p>
    <w:p>
      <w:r>
        <w:rPr>
          <w:b/>
        </w:rPr>
        <w:t xml:space="preserve">Quelle: </w:t>
      </w:r>
      <w:r>
        <w:t>https://mcp.opencaselaw.ch/entscheid/zh_sozialversicherungsgericht_IV.2008.00482</w:t>
      </w:r>
    </w:p>
    <w:p>
      <w:r>
        <w:t>FR: ZH_SOZIALVERSICHERUNGSGERICHT IV.2008.00482 du 27 février 2009</w:t>
      </w:r>
    </w:p>
    <w:p>
      <w:r>
        <w:t>IT: ZH_SOZIALVERSICHERUNGSGERICHT IV.2008.00482 del 27 febbraio 2009</w:t>
      </w:r>
    </w:p>
    <w:p>
      <w:pPr>
        <w:pStyle w:val="Heading2"/>
      </w:pPr>
      <w:r>
        <w:t>Erwägungen</w:t>
      </w:r>
    </w:p>
    <w:p>
      <w:r>
        <w:rPr>
          <w:b/>
        </w:rPr>
        <w:t>E. 1.1</w:t>
      </w:r>
    </w:p>
    <w:p>
      <w:r>
        <w:t>X.___ , geboren 1964, verheiratete sich am 1987 mit Y.___ . Der Ehe entsprossen 1987 der Sohn Z.___ und 1990 der Sohn A.___ (vgl. Familienbüchlein, Urk. 14/8).</w:t>
      </w:r>
    </w:p>
    <w:p>
      <w:r>
        <w:rPr>
          <w:b/>
        </w:rPr>
        <w:t>E. 1.2</w:t>
      </w:r>
    </w:p>
    <w:p>
      <w:r>
        <w:t>Am 23. April 2004 meldete sich X.___ bei der IV-Stelle des Kantons Zürich zum Leistungsbezug an (Urk. 14/1).</w:t>
      </w:r>
    </w:p>
    <w:p>
      <w:r>
        <w:rPr>
          <w:b/>
        </w:rPr>
        <w:t>E. 1.3</w:t>
      </w:r>
    </w:p>
    <w:p>
      <w:r>
        <w:t>Noch während des IV-Abklärungsverfahrens wurde die Ehe 2006 geschieden und dabei die elterliche Sorge über den damals noch minder jährigen Sohn A.___ der Ehegattin zugeteilt. Sodann wurde das Besuchsrecht ge regelt, Kenntnis genommen vom gegenseitigen Verzicht auf die Bezahlung von Unter haltsbeiträgen und festgehalten, dass X.___ der Ehegattin für den Sohn A.___ keine Unterhaltsbeiträge schulde. Gestützt auf Art. 285 Abs. 2 des Schweizerischen Zivilgesetzbuches (ZGB) wurde indessen vereinbart, dass all fällige, X.___ ausgerichtete Sozialversicherungsrenten, die für den Sohn A.___ bestimmt seien, an Stelle der Unterhaltsbeiträge treten würden (Urk. 14/69). Da der Sohn Z.___ im Zeitpunkt der Scheidung bereits volljährig war, er übrigten sich scheidungsrichterliche Anordnungen. Z.___ war damals in Ausbil dung, welche er im August 2007 abschloss (Urk. 1 S. 3). Während der Ausbil dungszeit wohnte er bei der Mutter (Urk. 13/3).</w:t>
      </w:r>
    </w:p>
    <w:p>
      <w:r>
        <w:rPr>
          <w:b/>
        </w:rPr>
        <w:t>E. 2</w:t>
      </w:r>
    </w:p>
    <w:p>
      <w:r>
        <w:t>Mit Verfügungen der IV-Stelle Zürich vom 8. April 2008 wurde X.___ rückwirkend ab dem 1. September 2004 eine Invalidenrente aufgrund eines In validitätsgrades von 100 % zugesprochen (Urk. 2). Ebenfalls rückwirkend ab 1. September 2004 zugesprochen wurden ihm Kinderrenten für Z.___ (Urk. 2/1) und A.___ (Urk. 2/2), wobei die Rente für Z.___ auf Ende August 2007 befristet wurde. Die Nachzahlungen der Kinderrenten erfolgten auf das Konto der ge schiedenen Ehegattin des Versicherten, Y.___ , wobei sich das Betreffnis für den Sohn Z.___ auf insgesamt Fr. 18'089.-- belief.</w:t>
      </w:r>
    </w:p>
    <w:p>
      <w:r>
        <w:rPr>
          <w:b/>
        </w:rPr>
        <w:t>E. 2.1</w:t>
      </w:r>
    </w:p>
    <w:p>
      <w:r>
        <w:t>Zur Begründung lässt der Beschwerdeführer unter Hinweis auf BGE 134 V 15 ff. und den Artikel seines Rechtsvertreters in der AJP (7/2008 S. 912-913) vorbrin gen, Art. 71 ter der Verordnung über die Alters- und Hinterlassenenversicherung (AHVV) biete keine gesetzliche Grundlage für die Auszahlung der Kinderrente an ein erwachsenes Kind. Nach den Ausführungen des Bundesgerichts liege diesbezüglich indessen kein qualifiziertes Schweigen des Gesetzgebers vor. Über die Unterhaltspflicht gemäss Art. 285 Abs. 2 könne nicht im sozialversiche rungsrechtlichen Leistungsstreitigkeitsverfahren befunden werden, weil keine zivilrechtliche Verpflichtung vorliege. Gemäss bundesgerichtlicher Rechtspre chung sei die Kinderrente nur solange der geschiedenen Ehegattin auszurichten, als die Kinder unmündig sind, denn nur solange bestehe die elterliche Sorge. Danach habe derjenige Anspruch darauf, dem der Anspruch auf eine Invali denrente zustehe, vorliegend der Beschwerdeführer (Urk. 1).</w:t>
      </w:r>
    </w:p>
    <w:p>
      <w:r>
        <w:rPr>
          <w:b/>
        </w:rPr>
        <w:t>E. 2.2</w:t>
      </w:r>
    </w:p>
    <w:p>
      <w:r>
        <w:t>Demgegenüber stellt sich die Beschwerdegegnerin auf den Standpunkt, es fehle an einer gesetzlichen Grundlage für die Direktauszahlung der Kinderrenten an die Mutter des erwachsenen Kindes. Indessen bestehe eine Rechtsgrundlage in Art. 82 der Verordnung über die Invalidenversicherung (IVV) und Art. 71 ter AHVV dahingehend, dass die Drittauszahlung an den nicht rentenberechtigten Elternteil, unter dessen Sorge das Kind stehe, zulässig sei. Mit Scheidungsurteil vom 19. Oktober 2006 habe das Gerichtspräsidium Lenzburg entschieden, dass für den Sohn A.___ keine Unterhaltsbeiträge zu bezahlen seien, aber eine allfäl lige Rente des Beschwerdeführers an diese Stelle treten werde. Daraus habe die Beschwerdegegnerin abgeleitet, dass das auch für den zum Zeitpunkt des Schei dungsurteils bereits volljährigen Sohn Z.___ gegolten habe. Die Drittauszahlung sei in Art. 20 des Bundesgesetzes über den Allgemeinen Teil des Sozialversi cherungsrechts (ATSG) geregelt. Die Kindsmutter habe am 14. Mai 2008 bestä tigt, dass der Beschwerdeführer nie Unterhaltsbeiträge bezahlt habe, weshalb sie die Auszahlung der Kinderrenten an sich selber verlangt habe. Die Auszah lungsmodalitäten der Kinderrente seien nicht identisch mit denjenigen der Waisenrenten (Urk. 12). 3.</w:t>
      </w:r>
    </w:p>
    <w:p>
      <w:r>
        <w:t>Männer und Frauen, denen eine Invalidenrente zusteht, haben für jedes Kind, das im Falle ihres Todes eine Waisenrente der AHV beanspruchen könnte, An spruch auf eine Kinderrente (Art. 35 Abs. 1 des Bundesgesetzes über die Invali denversicherung, IVG). Der Anspruch besteht auch für erwachsene Kinder, die noch in Ausbildung stehen, bis längstens zum vollendeten 25. Altersjahr (vgl. Art. 25 Abs. 5 des Bundesgesetzes über die Alters- und Hinterlassenen ver siche rung, AHVG). Die Kinderrente ist für den Unterhalt des Kindes be stimmt.</w:t>
      </w:r>
    </w:p>
    <w:p>
      <w:r>
        <w:t>Gemäss Art. 35 Abs. 4 Satz 1 IVG wird die Kinderrente wie die Rente ausbe zahlt, zu der sie gehört, mithin grundsätzlich an den rentenberechtigten Eltern teil. Vorbehalten bleiben die Bestimmungen über die zweckmässige Verwen dung (Art. 20 ATSG) und abweichende zivilrichterliche Anordnungen (Art. 35 Abs. 4 Satz 2 IVG). Der Bundesrat kann die Auszahlung für Sonderfälle in Ab weichung von Art. 20 ATSG regeln, namentlich für Kinder aus getrennter oder geschiedener Ehe (Art. 35 Abs. 4 Satz 3 IVG). Gestützt auf diese Delegation hat der Bundesrat in Art. 82 IVV festgelegt, dass für die Auszahlung der Renten so wie der Hilflosenentschädigung für Volljährige unter anderem Art. 71 ter AHVV (in Kraft seit 1. Januar 2002) sinngemäss gilt. Dessen Absatz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zivilrechtliche Anordnungen bleiben vorbehalten." Absatz 1 gilt auch für die Nachzahlung von Kinderrenten. Hat der rentenberechtigte Elternteil seine Unterhaltspflicht gegenüber dem Kind erfüllt, so steht ihm die Nachzahlung im Umfang der monatlich erbrachten Leistungen zu (Abs. 2 von Art. 71 ter IVV). 4.</w:t>
      </w:r>
    </w:p>
    <w:p>
      <w:r>
        <w:rPr>
          <w:b/>
        </w:rPr>
        <w:t>E. 3</w:t>
      </w:r>
    </w:p>
    <w:p>
      <w:r>
        <w:t>Dem Beschwerdeführer sei die unentgeltliche Prozessführung und Ver -</w:t>
      </w:r>
    </w:p>
    <w:p>
      <w:r>
        <w:t>beiständung zu gewähren und ihm in der Person des Unterzeichnen den</w:t>
      </w:r>
    </w:p>
    <w:p>
      <w:r>
        <w:t>für das vorliegende Verfahren ein unentgeltlicher Prozessbeistand beizu -</w:t>
      </w:r>
    </w:p>
    <w:p>
      <w:r>
        <w:t>geben."</w:t>
      </w:r>
    </w:p>
    <w:p>
      <w:r>
        <w:t>Am 5. September 2008 ersuchte die Beschwerdegegnerin unter Hinweis auf die Vernehmlassung der Ausgleichskasse der Aargauer Industrie- und Handels kammer um Abweisung der Beschwerde (Urk. 11 und Urk. 12).</w:t>
      </w:r>
    </w:p>
    <w:p>
      <w:r>
        <w:rPr>
          <w:b/>
        </w:rPr>
        <w:t>E. 4</w:t>
      </w:r>
    </w:p>
    <w:p>
      <w:r>
        <w:t>Mit Entscheid vom 7. Oktober 2008 wies das Gericht das Gesuch um Gewäh rung der unentgeltlichen Rechtspflege mangels Nachweises der prozessualen Bedürftigkeit ab (Urk. 15). Die vom Beschwerdeführer dagegen erhobene Be schwerde wies das Bundesgericht mit Urteil vom 28. November 2008 ab, soweit es darauf eintrat (Urk. 21).</w:t>
      </w:r>
    </w:p>
    <w:p>
      <w:r>
        <w:rPr>
          <w:b/>
        </w:rPr>
        <w:t>E. 4.1</w:t>
      </w:r>
    </w:p>
    <w:p>
      <w:r>
        <w:t>Laut dem vom Rechtsvertreter des Beschwerdeführers zitierten und kritisierten Urteil des Bundesgerichtes vom 27. Dezember 2007 in Sachen S. (BGE 134 V 15) besteht aufgrund der mit Wirkung ab 1. Januar 2002 vom Bundesrat erlas senen Verordnungsbestimmungen (Art. 82 IVV und Art. 71 ter AHVV) keine ge setzliche Grundlage für eine Direktauszahlung einer Kinderrente an das mün dige (noch in Ausbildung stehende) Kind. Gleiches gelte für die Direktauszah lung an den El ternteil, bei dem das mündige, noch in Ausbildung stehende Kind lebt. Eine Gesetzeslücke bestehe nicht, da es nach der in Art. 285 ZGB enthalte nen Rege lung Sache der Zivilgerichte sei, aufgrund einer Gesamtwürdigung der finan ziellen Verhältnisse die Unterhaltsbeiträge festzusetzen und dabei den so zial versicherungsrechtlichen Rentenansprüchen in gesamthafter Betrachtung Rech nung zu tragen. Das Zivilrecht erlaube, eine dem Einzelfall gerecht wer dende Lösung zu treffen und eine zweckentsprechende Verwendung der Kin derrente sicherzustellen.</w:t>
      </w:r>
    </w:p>
    <w:p>
      <w:r>
        <w:rPr>
          <w:b/>
        </w:rPr>
        <w:t>E. 4.2</w:t>
      </w:r>
    </w:p>
    <w:p>
      <w:r>
        <w:t>Soweit sich der Beschwerdeführer für seinen Standpunkt auf diesen Bundesge richtsentscheid beruft, verkennt er einen massgeblichen Unterschied zum vor liegenden Sachverhalt. Denn damals erfolgte die Rentenzusprache mit Verfü gung vom 12. Mai 2006 mit Wirkung ab 1. Juni 2006, also ausschliesslich pro futuro , und auf Gesuch vom 3. Oktober 2006 hin verfügte die IV-Stelle, die Kinderrente für den in Ausbildung befindlichen Sohn (der bei der Mutter wohnte) ab 1. Dezember 2006 an diesen direkt auszuzahlen. Dagegen wehrte sich der rentenberechtigte Vater mit Erfolg. Dem zitierten Bundesgerichtsent scheid lässt sich im Übrigen nicht entnehmen, dass der Vater die Kinderrente nicht zweckbestimmt verwendet hätte bzw. verwenden würde.</w:t>
      </w:r>
    </w:p>
    <w:p>
      <w:r>
        <w:rPr>
          <w:b/>
        </w:rPr>
        <w:t>E. 4.3</w:t>
      </w:r>
    </w:p>
    <w:p>
      <w:r>
        <w:t>Im vorliegenden Fall geht es ausschliesslich um die Nachzahlung von Renten betreffnissen für eine vor der erstmaligen Rentenfestsetzung (mit Verfügung vom 8. April 2008) abgeschlossene Periode vom 1. Januar 2006 bis 31. Au gust 2007. Wie erwähnt, war der Sohn Z.___ damals volljährig, befand sich in Aus bildung und lebte bei seiner Mutter.</w:t>
      </w:r>
    </w:p>
    <w:p>
      <w:r>
        <w:rPr>
          <w:b/>
        </w:rPr>
        <w:t>E. 4.4</w:t>
      </w:r>
    </w:p>
    <w:p>
      <w:r>
        <w:t>Zu Händen der Ausgleichskasse bestätigte Y.___ am 14. Mai 2008, dass der Beschwerdeführer für seine Kinder Z.___ und A.___ keine Unterhaltsbei träge bezahlt habe, nicht während der Ehe und auch nicht seit dem 1. Septem ber 2004. Sie verlangte, dass die Kinderrenten auch über das Mündigkeitsalter hinaus an sie ausbezahlt würden, weil die Kinder auch heute noch unter ihrer Sorge stünden (Urk. 13/3). Auf entsprechende Aufforderung des Gerichts (Ver fügung vom 7. Oktober 2008, Urk. 15) liess der Beschwerdeführer mit Eingabe vom 24. Oktober 2008 (Urk. 19) mitteilen, dass er in der Zeit vom 1. Januar 2006 bis zum 31. August 2007 keine Unterhaltsleistungen erbracht habe, von gewis sen Ausgaben und Gelegenheitsgeschenken im Rahmen des Besuchsrechts ab gesehen, welche sich naturgemäss nicht belegen liessen.</w:t>
      </w:r>
    </w:p>
    <w:p>
      <w:r>
        <w:rPr>
          <w:b/>
        </w:rPr>
        <w:t>E. 4.5</w:t>
      </w:r>
    </w:p>
    <w:p>
      <w:r>
        <w:t>Zwar bestand seitens des Beschwerdeführers keine gesetzliche oder im Rahmen der Ehescheidung angeordnete Unterhaltspflicht im Sinne von Art. 133 Abs. 1 ZGB. Die Unterhaltspflicht nach Art. 277 Abs. 2 ZGB für Z.___ für die Zeit nach Erreichen der Mündigkeit bis zum Abschluss seiner Ausbildung nahm offen sichtlich seine Mutter wahr, bei welcher Z.___ wohnte.</w:t>
      </w:r>
    </w:p>
    <w:p>
      <w:r>
        <w:rPr>
          <w:b/>
        </w:rPr>
        <w:t>E. 4.6</w:t>
      </w:r>
    </w:p>
    <w:p>
      <w:r>
        <w:t>Art. 82 Abs. 1 IVV bestimmt, dass für die Auszahlung der Renten und der Hilflo senentschädigungen für Volljährige unter anderem Art. 71 ter AHVV sinn gemäss anzuwenden ist. Nach Absatz 2 von Art. 71 ter AHVV gelten die Rege lungen von dessen Absatz 1 auch für die Nachzahlung von Kinderrenten. Zwar spricht Absatz 1 von "elterlicher Sorge über das Kind", die mit Mündigkeit da hinfällt. Bestehen bleibt indes die Unterhaltspflicht nach Art. 277 Abs. 2 ZGB. Wenn nun in Absatz 2 von Art. 71 ter AHVV festgelegt wird, dass, wenn der rentenberechtigte Elternteil seine Unterhaltspflicht gegenüber dem Kind erfüllt hat, ihm die Nachzahlung im Umfang der monatlich erbrachten Leistungen zu steht, ist daraus zu schliessen, dass dem Beschwerdeführer vorliegend keine Nachzahlung zusteht, da er eingestandenermassen in der fraglichen Periode nichts an den Unterhalt des Sohnes Z.___ im Rahmen von Art. 277 Abs. 2 ZGB geleistet hat.</w:t>
      </w:r>
    </w:p>
    <w:p>
      <w:r>
        <w:rPr>
          <w:b/>
        </w:rPr>
        <w:t>E. 4.7</w:t>
      </w:r>
    </w:p>
    <w:p>
      <w:r>
        <w:t>Nach Art. 2 Abs. 1 ZGB hat jedermann in der Ausübung seiner Rechte und in der Erfüllung seiner Pflichten nach Treu und Glauben zu handeln. Nach Abs. 2 dieser Bestimmung findet der offenbare Missbrauch eines Rechtes keinen Rechtsschutz. Art. 2 ZGB ist eine Grundschutznorm, welche der Durchsetzung der öffentlichen Ordnung und Sittlichkeit dient.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Soweit die als rechtsmissbräuchlich betrach tete Rechtsanwendung in einer gerichtlichen Rechtsdurchsetzung besteht, hat der Grundsatz einen engen inneren Zusammenhang mit der Rechtsanwendung durch das Gericht. Dieses soll nicht gehalten sein, einem Ergebnis der formalen Rechtsordnung zum Durchbruch zu verhelfen, das in offensichtlichem Wider spruch zu elementaren ethischen Anforderungen steht (BGE 131 V 97 Erw . 4.3 mit Hinweisen; Gächter, Rechtsmissbrauch im öffentlichen Recht, Zü rich/Basel/Genf 2005, S. 67 ff.). Rechtsmissbrauch liegt insbesondere dann vor, wenn ein Rechtsinstitut zweckwidrig zur Verwirklichung von Interessen ver wendet wird, die dieses Rechtsinstitut nicht schützen will (BGE 128 II 145 E. 2.2 S. 151 mit Hinweisen).</w:t>
      </w:r>
    </w:p>
    <w:p>
      <w:r>
        <w:t>Selbst wenn die in Erw . 4.6 hiervor getroffene Gesetzesauslegung nicht zulässig wäre und dem Beschwerdeführer mangels Vereinbarung oder anderweitiger zi vilgerichtlicher Anordnung ein bedingungsloses Recht auf Nachzahlung der fraglichen Kinderrentenbetreffnisse gesetzlich zustünde, würde das nicht zur Gutheissung der Beschwerde führen, da die Geltendmachung des Anspruchs durch den Beschwerdeführer im Hinblick auf die aufgezeigten familiären Um stände und seines Verhaltens bezüglich finanzieller Unterstützung in ausge prägter Form als rechtsmissbräuchlich zu qualifizieren ist. 5.</w:t>
      </w:r>
    </w:p>
    <w:p>
      <w:r>
        <w:t>Gestützt auf diese Erwägungen ist die Beschwerde abzuweisen. 6.</w:t>
      </w:r>
    </w:p>
    <w:p>
      <w:r>
        <w:t>Da es um die Bewilligung oder Verweigerung von Versicherungsleistungen geht, ist das Verfahren kostenpflichtig. Die Gerichtskosten sind nach dem Verfah rensaufwand und unabhängig vom Streitwert festzulegen (Art. 69 Abs. 1 bis IVG in der seit dem 1. Juli 2006 in Kraft stehenden Fassung) und auf Fr. 600.-- an zusetzen. Entsprechend dem Ausgang des Verfahrens sind sie dem unterliegen den Beschwerdeführer aufzuerlegen.</w:t>
      </w:r>
    </w:p>
    <w:p>
      <w:r>
        <w:rPr>
          <w:b/>
        </w:rPr>
        <w:t>E. 5</w:t>
      </w:r>
    </w:p>
    <w:p>
      <w:r>
        <w:t>Mit Verfügung vom 16. Dezember 2008 schloss das Gericht den Schriftenwech sel (Urk. 22).</w:t>
      </w:r>
    </w:p>
    <w:p>
      <w:r>
        <w:rPr>
          <w:b/>
        </w:rPr>
        <w:t>E. 6</w:t>
      </w:r>
    </w:p>
    <w:p>
      <w:r>
        <w:t>Am 12. Februar 2009 erneuerte der Beschwerdeführer unter Beilage von Bestäti gungen des Steuer- und des Sozialamtes der Stadt Zürich sein Gesuch um Ge währung der unentgeltliche n Rechtspflege. Der Entscheid vom 7. Oktober 2008 sei in Wiedererwägung zu ziehen (Urk. 23 und 24/1-3).</w:t>
      </w:r>
    </w:p>
    <w:p>
      <w:r>
        <w:rPr>
          <w:b/>
        </w:rPr>
        <w:t>E. 7</w:t>
      </w:r>
    </w:p>
    <w:p>
      <w:r>
        <w:t>Soweit der Beschwerdeführer mit Eingabe vom 12. Februar 2009 (Urk. 23) er neut um die Bewilligung der unentgeltlichen Rechtspflege und Wiedererwägung des abweisenden Entscheides vom 7. Oktober 2008 ersucht, bleibt darauf hin zuweisen, dass einerseits angesichts des bestätigenden Entscheides des Bundes gerichts vom 28. November 2008 (Urk. 21) kein Anlass und auch keine hinrei chenden Gründe für eine Wiedererwägung bestehen - ein Anspruch besteht ohnehin nicht - und dass anderseits die Beschwerde von Anfang nicht nur als aussichtslos, sondern auch als mutwillig zu qualifizieren ist. Der Einzelrichter verfügt:</w:t>
      </w:r>
    </w:p>
    <w:p>
      <w:r>
        <w:t>Die Gesuche um Wiedererwägung des Entscheids vom 7. Oktober 2008 und um Gewährung der unentgeltlichen Rechtspflege werden abgewiesen, und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Dr. Markus Krapf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Gerichtssekretärin EnglerSpross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