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IV.2008.00418 vom 30. September 2009</w:t>
      </w:r>
    </w:p>
    <w:p>
      <w:r>
        <w:t>ZH Sozialversicherungsgericht, 2009-09-30, DE</w:t>
      </w:r>
    </w:p>
    <w:p>
      <w:r>
        <w:rPr>
          <w:b/>
        </w:rPr>
        <w:t xml:space="preserve">Quelle: </w:t>
      </w:r>
      <w:r>
        <w:t>https://mcp.opencaselaw.ch/entscheid/zh_sozialversicherungsgericht_IV.2008.00418</w:t>
      </w:r>
    </w:p>
    <w:p>
      <w:r>
        <w:t>FR: ZH_SOZIALVERSICHERUNGSGERICHT IV.2008.00418 du 30 septembre 2009</w:t>
      </w:r>
    </w:p>
    <w:p>
      <w:r>
        <w:t>IT: ZH_SOZIALVERSICHERUNGSGERICHT IV.2008.00418 del 30 settembre 2009</w:t>
      </w:r>
    </w:p>
    <w:p>
      <w:pPr>
        <w:pStyle w:val="Heading2"/>
      </w:pPr>
      <w:r>
        <w:t>Erwägungen</w:t>
      </w:r>
    </w:p>
    <w:p>
      <w:r>
        <w:rPr>
          <w:b/>
        </w:rPr>
        <w:t>E. 2</w:t>
      </w:r>
    </w:p>
    <w:p>
      <w:r>
        <w:t>Â Â Â Â Â  Gegen diese VerfÃ¼gung liess die Versicherte am 23. April 2008 Beschwerde erheben und beantragen, die VerfÃ¼gung vom 11. Mai 2008 sei aufzuheben und es sei ihr eine Rente der Invalidenversicherung zuzusprechen; unter Kosten- und EntschÃ¤digungsfolgen (Urk. 1). Nachdem die IV-Stelle am 30. Juni 2008 die Abweisung der Beschwerde beantragt hatte (Urk. 7), wurde der Schriftenwechsel mit VerfÃ¼gung vom 1. Juli 2008 geschlossen (Urk. 9).</w:t>
      </w:r>
    </w:p>
    <w:p>
      <w:r>
        <w:t>Â Â Â Â Â Â Â Â  Auf die Vorbringen der Parteien sowie die eingereichten Unterlagen ist, soweit fÃ¼r den Entscheid erforderlich, in den nachfolgenden ErwÃ¤gungen einzugehen.</w:t>
      </w:r>
    </w:p>
    <w:p>
      <w:r>
        <w:t>Das Gericht zieht in ErwÃ¤gung:</w:t>
      </w:r>
    </w:p>
    <w:p>
      <w:r>
        <w:t>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Die angefochtene VerfÃ¼gung erging am 11. MÃ¤rz 2008 (Urk. 2) und es steht eine Dauerleistung im Streit, Ã¼ber welche noch nicht rechtskrÃ¤ftig verfÃ¼gt wurde. Demnach ist fÃ¼r die Zeit bis 31. Dezember 2007 auf die damals geltenden Bestimmungen und ab diesem Zeitpunkt auf die neuen Normen der 5. IV-Revision abzustellen (vgl. BGE 130 V 445). Weil die Anmeldung noch unter der Herrschaft des alten Rechts erfolgte, handelt es sich bei den im Folgenden zitierten Gesetzes- und Verordnungsbestimmungen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Versicherten, die nur zum Teil erwerbstÃ¤tig sind,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1.5Â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(Art. 8 Abs. 3 ATSG sowie Art. 28 Abs. 2bis in Verbindung mit Abs. 2ter IVG)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(EVG) vom 11. April 2006, I 266/05, Erw. 4.2, vgl. auch BGE 133 V 504 Erw. 3.3).</w:t>
      </w:r>
    </w:p>
    <w:p>
      <w:r>
        <w:t>1.6Â Â Â Â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Die im Rahmen der InvaliditÃ¤tsbemessung bei einer Hausfrau zu berÃ¼cksichtigende Mithilfe von FamilienangehÃ¶rigen geht daher weiter als die ohne GesundheitsschÃ¤digung Ã¼blicherweise zu erwartende UnterstÃ¼tzung. Geht es um die Mitarbeit von FamilienangehÃ¶rigen, ist danach zu fragen, wie sich eine vernÃ¼nftige Familiengemeinschaft einrichten wÃ¼rde, wenn keine Versicherungsleistungen zu erwarten wÃ¤ren. Dabei darf nach der Rechtsprechung unter dem Titel der Schadenminderungspflicht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w:t>
      </w:r>
    </w:p>
    <w:p>
      <w:r>
        <w:t>1.7Â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in BGE 129 V 67 nicht verÃ¶ffentlichte Erw. 2.3.2). Das Gericht greift, sofern der Bericht eine zuverlÃ¤ssige Entscheidungsgrundlage im eben umschriebenen Sinne darstellt, in das Ermessen der AbklÃ¤rungsperson nur ein, wenn klar feststellbare FehleinschÃ¤tzungen oder Anhaltspunkte fÃ¼r die Unrichtigkeit der AbklÃ¤rungsresultate (z.B. infolge von WidersprÃ¼chlichkeiten) vorliegen. Das gebietet insbesondere der Umstand, dass die fachlich kompetente AbklÃ¤rungsperson nÃ¤her am konkreten Sachverhalt ist als das im Beschwerdefall zustÃ¤ndige Gericht (BGE 128 V 93; Urteil des EVG vom 16. Dezember 2003, I 482/03 Erw. 2.3).</w:t>
      </w:r>
    </w:p>
    <w:p>
      <w:r>
        <w:t>1.8Â Â Â Â  Der AbklÃ¤rungsbericht Haushalt stellt grundsÃ¤tzlich auch dann eine beweis-taugliche Grundlage dar, wenn es um die Bemessung einer psychisch bedingten InvaliditÃ¤t geht, d.h. die Beurteilung psychischer Erkrankungen im Vordergrund steht. Im Falle eines Widerspruchs zwischen den Ergebnissen der AbklÃ¤rung vor Ort und den fachmedizinischen Feststellungen zur FÃ¤higkeit der versicherten Person, ihre gewohnten Aufgaben zu erfÃ¼llen, ist jedoch den Ã¤rztlichen Stellungnahmen in der Regel mehr Gewicht einzurÃ¤umen als dem Bericht Ã¼ber die HaushaltsabklÃ¤rung. Diese prinzipielle Gewichtung hat ihren Grund darin, dass es fÃ¼r die AbklÃ¤rungsperson regelmÃ¤ssig nur beschrÃ¤nkt mÃ¶glich ist, das Ausmass des psychischen Leidens und der damit verbundenen EinschrÃ¤nkungen zu erkennen (Urteil des Bundesgerichts vom 13. Juni 2008, 8C_671/2007, Erw. 3.2.1, mit Hinweis auf Urteil I 733/03 vom 6. April 2004, Erw. 5.1.2 und 5.1.3, je mit Hinweisen).</w:t>
      </w:r>
    </w:p>
    <w:p>
      <w:r>
        <w:t>1.9Â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  Strittig und zu prÃ¼fen sind vorliegend die Statusfrage (Anteile ErwerbstÃ¤tigkeit / Haushalt) und der InvaliditÃ¤tsgrad.</w:t>
      </w:r>
    </w:p>
    <w:p>
      <w:r>
        <w:rPr>
          <w:b/>
        </w:rPr>
        <w:t>E. 3</w:t>
      </w:r>
    </w:p>
    <w:p>
      <w:r>
        <w:t>3.1Â Â Â Â  Dr. med. Z.___, Allgemeine Medizin FMH, diagnostizierte am 29. November 2004 mit Auswirkung auf die ArbeitsfÃ¤higkeit eine Retinitis pigmentosa und eine allgemeine ErschÃ¶pfung mit reduzierter LeistungsfÃ¤higkeit (Urk. 8/71/1). Seines Erachtens sei hÃ¶chstens noch eine ArbeitsfÃ¤higkeit von etwa 25 % in behindertenangepasster Umgebung mÃ¶glich. Seines Erachtens hange die ErmÃ¼dung und die ErschÃ¶pfung mit den hochgradigen SeheinschrÃ¤nkungen zusammen - Arbeiten seien fÃ¼r die BeschwerdefÃ¼hrerin sehr belastend und zeitaufwendig - andererseits mit der psychischen Belastung durch den sich verschlechternden Visus (Urk. 8/71/2).</w:t>
      </w:r>
    </w:p>
    <w:p>
      <w:r>
        <w:t>3.2Â Â Â Â  Dr. med. A.___, Facharzt Allgemeine Medizin FMH, Psychosomatische und Psychosoziale Medizin (APPM), hielt am 18. Mai 2005 zuhanden der IV-Stelle fest, die BeschwerdefÃ¼hrerin leide an einer chronischen DepressivitÃ¤t, die frÃ¼her mit eigenen Ressourcen habe kompensiert werden kÃ¶nnen, sich jetzt aber, da diese aufgebraucht seien, verstÃ¤rkt habe und im Zusammenhang mit der Grundkrankheit und auch den damit zusammenhÃ¤ngenden Ãngsten einen behindernden Status erreicht habe, die externe Arbeit einerseits, die Hausarbeit andererseits betreffend. Was die BeschwerdefÃ¼hrerin ÂErschÃ¶pfungÂ nenne, sei in Wahrheit Ausdruck einer DepressivitÃ¤t (Urk. 8/78).</w:t>
      </w:r>
    </w:p>
    <w:p>
      <w:r>
        <w:t>3.3Â Â Â Â  Dr. med. B.___, FachÃ¤rztin FMH fÃ¼r Psychiatrie und Psychotherapie, bei der die BeschwerdefÃ¼hrerin seit dem 24. Januar 2005 in Behandlung steht (Urk. 8/83/2), erhob am 27. August 2005 zuhanden der IV-Stelle die psychiatrische Diagnose einer mittelschweren Depression (ICD-10 F32.11). BezÃ¼glich der medizinisch begrÃ¼ndeten ErwerbsunfÃ¤higkeit fÃ¼hrte sie aus, die BeschwerdefÃ¼hrerin sei, seit sie sie kenne, hÃ¶chstens 40 % belastungs- und einsatzfÃ¤hig insgesamt in allen Arbeits- und Aufgabenbereichen (Urk. 8/83/5). Die BeschwerdefÃ¼hrerin wÃ¼rde als gesunde Frau in ihrer jetzigen Lebenssituation mit zwei erwachsenen Kindern einer mindestens 50%igen ErwerbstÃ¤tigkeit nachgehen und daneben den Haushalt fÃ¼r zwei Personen fÃ¼hren (Urk. 8/83/6).</w:t>
      </w:r>
    </w:p>
    <w:p>
      <w:r>
        <w:t>3.4Â Â Â Â  Dr. Y.___ diagnostizierte in seinem psychiatrischen Gutachten vom 10. April 2007 eine AnpassungsstÃ¶rung, Angst und depressive Reaktion gemischt (ICD-10 43.21) bei zunehmender Erblindung aufgrund einer Retinitis pigmentosa und eine Aufmerksamkeitsdefizit-HyperaktivitÃ¤tsstÃ¶rung (ADHS) als Kind, zum Teil persistierend mit Konzentrationsproblemen, Unruhe und Vergesslichkeit. Die Kriterien einer depressiven Episode seien aktuell nicht erfÃ¼llt. Die bestehenden Ã¤ngstlichen und depressiven Symptome wÃ¼rden sich am ehesten als AnpassungsstÃ¶rung werten lassen (Urk. 8/107/13-14). Die ArbeitsunfÃ¤higkeit betrage weiterhin 60 %. Die BeschwerdefÃ¼hrerin leiste gewisse Hausarbeit und zusÃ¤tzlich ein externes Pensum als Katechetin, was einer RestarbeitsfÃ¤higkeit von etwa 40 % entspreche. Insgesamt scheine ihm die Art der TÃ¤tigkeit fÃ¼r die BeschwerdefÃ¼hrerin optimal. Er glaube nicht, dass sie in einer anderen angepasst(er)en TÃ¤tigkeit dauerhaft mehr Leistung bringen kÃ¶nnte (Urk. 8/107/15). Eine angepasste TÃ¤tigkeit sei in einem zeitlichen Rahmen von zwei bis drei Stunden pro Tag zumutbar (Urk. 8/107/15). BezÃ¼glich der WÃ¼rdigung der vorhandenen Arztberichte fÃ¼hrte Dr. Y.___ aus, es lÃ¤gen keine wesentlichen Diskrepanzen in der Beurteilung der ArbeitsfÃ¤higkeit vor (Urk. 8/107/18).</w:t>
      </w:r>
    </w:p>
    <w:p>
      <w:r>
        <w:rPr>
          <w:b/>
        </w:rPr>
        <w:t>E. 4</w:t>
      </w:r>
    </w:p>
    <w:p>
      <w:r>
        <w:t>4.1Â Â Â Â  Die IV-Stelle qualifiziert die BeschwerdefÃ¼hrerin als zu 50 % im ausserhÃ¤uslichen Erwerb und zu 50 % im Haushalt tÃ¤tig, geht gestÃ¼tzt auf das Gutachten von Dr. Y.___ vom 10. April 2007 davon aus, dass die BeschwerdefÃ¼hrerin in angepasster TÃ¤tigkeit zwei bis drei Stunden tÃ¤glich (30 %) arbeiten kÃ¶nne und berÃ¼cksichtigt gestÃ¼tzt auf den HaushaltabklÃ¤rungsbericht vom 29. MÃ¤rz 2005 eine EinschrÃ¤nkung von 11 % im Haushaltsbereich (Urk. 2). Es ist aber der BeschwerdefÃ¼hrerin darin zuzustimmen, dass die Beschwerdegegnerin die Beurteilung der ArbeitsfÃ¤higkeit im Gutachten von Dr. Y.___ falsch interpretiert hat. Diesem Gutachten vom 10. April 2007 (Urk. 8/107) ist zu entnehmen, dass Dr. Y.___ der BeschwerdefÃ¼hrerin insgesamt, das heisst in erwerblicher und haushÃ¤lterischer TÃ¤tigkeit zusammen, nicht mehr als ein 40%-iges Pensum zumuten will (ÂDie ArbeitsunfÃ¤higkeit betrÃ¤gt weiterhin 60 %. Die Patientin leistet gewisse Hausarbeit und zusÃ¤tzlich ein externes Pensum als Katechetin, was einer RestarbeitsfÃ¤higkeit von etwa 40 % entsprichtÂ; Urk. 8/107/15; vgl. oben Erw. 3.4). Identisch schÃ¤tzt Dr. B.___ die Zumutbarkeit der BetÃ¤tigung der BeschwerdefÃ¼hrerin ein, indem sie angibt, seit sie die BeschwerdefÃ¼hrerin kenne (24. Januar 2005), sei diese hÃ¶chstens zu 40 % belastungs- und einsatzfÃ¤hig, insgesamt in allen Arbeits- und Aufgabenbereichen (Urk. 8/83/5; vgl. oben Erw. 3.3). Ferner weicht auch Dr. Z.___s EinschÃ¤tzung nicht von dieser Beurteilung ab, erachtet er doch hÃ¶chstens noch eine ArbeitsfÃ¤higkeit von etwa 25 % in behindertenangepasster Umgebung als mÃ¶glich (Urk. 8/71/2; vgl. oben Erw. 3.1). Die IV-Stelle ist somit klar und ohne ersichtlichen Grund von den (fach)-Ã¤rztlichen EinschÃ¤tzungen abgewichen, die alle im Wesentlichen Ã¼bereinstimmen und denen auch von der IV-Stelle ihre GlaubwÃ¼rdigkeit nicht abgesprochen wird. Ganz im Gegenteil stÃ¼tzt sie ja mit dem Regionalen Ãrztlichen Dienst (Feststellungsblatt fÃ¼r den Beschluss vom 26. November 2007; Urk. 8/ 114/4) darauf ab (Urk. 2). Es kann der Beschwerdegegnerin somit in der Festlegung der EinschrÃ¤nkungen in der ErwerbstÃ¤tigkeit und im Haushalt nicht gefolgt werden. Ebensowenig kann jedoch auf die soeben erwÃ¤hnten, im Wesentlichen Ã¼bereinstimmenden, Ã¤rztlichen EinschÃ¤tzungen (vgl. oben Erw. 3.1-3.4) abgestellt werden, da sie keine Abgrenzung zwischen den EinschrÃ¤nkungen in der ErwerbstÃ¤tigkeit und im Haushalt vornehmen. Auch kann nicht unbesehen auf den HaushaltabklÃ¤rungsbericht vom 29. MÃ¤rz 2005 abgestellt werden, da die psychische Problematik damals noch nicht als solche erkannt worden war und somit bei der HaushaltabklÃ¤rung keine BerÃ¼cksichtigung fand (vgl. AbklÃ¤rung der beeintrÃ¤chtigten ArbeitsfÃ¤higkeit in Beruf und Haushalt; Urk. 8/72). Eine aussagekrÃ¤ftige Beurteilung ist vorliegend nur mÃ¶glich, wenn die HaushaltabklÃ¤rung in Kenntnis der psychiatrischen EinschÃ¤tzung der ArbeitsfÃ¤higkeit und klarer Trennung zwischen EinschrÃ¤nkung im ausserhÃ¤uslichen Erwerb und im Haushalt erfolgt.</w:t>
      </w:r>
    </w:p>
    <w:p>
      <w:r>
        <w:t>4.2Â Â Â Â  Die IV-Stelle ist somit geheissen, den Sachverhalt im Sinne des Gesagten (Erw. 4.1) umfassend abzuklÃ¤ren und hernach neu zu verfÃ¼gen. In diesem Zusammenhang sollte auch die Qualifikation (50 % Erwerb / 50 % Haushalt) Ã¼berprÃ¼ft werden, da das Vorbringen der BeschwerdefÃ¼hrerin, sie wÃ¼rde keinen Hund halten, wenn sie nicht auf einen Blindenhund angewiesen wÃ¤re, und sie wÃ¼rde diese freie Zeit von ein bis zwei Stunden tÃ¤glich (ausgewiesener Zeitaufwand gemÃ¤ss Kontrollbericht Ã¼ber ein FÃ¼hrhundegespann vom 27. Januar 2003; Urk. 8/54) in eine ErwerbstÃ¤tigkeit investieren (Urk. 1), durchaus glaubwÃ¼rdig und realistisch erscheint.</w:t>
      </w:r>
    </w:p>
    <w:p>
      <w:r>
        <w:t>5.Â Â Â Â Â Â  Die Kosten des Verfahrens sind auf Fr. 800.-- festzulegen und ausgangsgemÃ¤ss von der Beschwerdegegnerin zu tragen (Art. 69 Abs. 1 bis IVG). Zudem ist der BeschwerdefÃ¼hrerin eine ProzessentschÃ¤digung von Fr. 2Â100.-- (inklusive Barauslagen und Mehrwertsteuer) zuzusprechen (Â§ 61 lit. g ATSG in Verbindung mit Â§ 34 Abs. 1 des Gesetzes Ã¼ber das Sozialversicherungsgericht).</w:t>
      </w:r>
    </w:p>
    <w:p>
      <w:r>
        <w:t>Das Gericht verfÃ¼gt:</w:t>
      </w:r>
    </w:p>
    <w:p>
      <w:r>
        <w:t>1.Â Â Â Â Â Â Â Â  Die Beschwerde wird in dem Sinne gutgeheissen, dass die angefochtene VerfÃ¼gung vom 11. MÃ¤rz 2008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2Â100.--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