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IV.2008.00409 vom 31. August 2009</w:t>
      </w:r>
    </w:p>
    <w:p>
      <w:r>
        <w:t>ZH Sozialversicherungsgericht, 2009-08-31, DE</w:t>
      </w:r>
    </w:p>
    <w:p>
      <w:r>
        <w:rPr>
          <w:b/>
        </w:rPr>
        <w:t xml:space="preserve">Quelle: </w:t>
      </w:r>
      <w:r>
        <w:t>https://mcp.opencaselaw.ch/entscheid/zh_sozialversicherungsgericht_IV.2008.00409</w:t>
      </w:r>
    </w:p>
    <w:p>
      <w:r>
        <w:t>FR: ZH_SOZIALVERSICHERUNGSGERICHT IV.2008.00409 du 31 août 2009</w:t>
      </w:r>
    </w:p>
    <w:p>
      <w:r>
        <w:t>IT: ZH_SOZIALVERSICHERUNGSGERICHT IV.2008.00409 del 31 agosto 2009</w:t>
      </w:r>
    </w:p>
    <w:p>
      <w:pPr>
        <w:pStyle w:val="Heading2"/>
      </w:pPr>
      <w:r>
        <w:t>Volltext</w:t>
      </w:r>
    </w:p>
    <w:p>
      <w:r>
        <w:t>IV.2008.00409</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Gerichtssekretärin Philipp</w:t>
      </w:r>
    </w:p>
    <w:p>
      <w:r>
        <w:t>Urteil vom 31. August 2009</w:t>
      </w:r>
    </w:p>
    <w:p>
      <w:r>
        <w:t>in Sachen</w:t>
      </w:r>
    </w:p>
    <w:p>
      <w:r>
        <w:t>X.___</w:t>
      </w:r>
    </w:p>
    <w:p>
      <w:r>
        <w:t>Beschwerdeführer</w:t>
      </w:r>
    </w:p>
    <w:p>
      <w:r>
        <w:t>vertreten durch Rechtsanwalt Dominique Chopard</w:t>
      </w:r>
    </w:p>
    <w:p>
      <w:r>
        <w:t>Werdstrasse 36, 8004 Zürich</w:t>
      </w:r>
    </w:p>
    <w:p>
      <w:r>
        <w:t>gegen</w:t>
      </w:r>
    </w:p>
    <w:p>
      <w:r>
        <w:t>Sozialversicherungsanstalt des Kantons Zürich, IV-Stelle</w:t>
      </w:r>
    </w:p>
    <w:p>
      <w:r>
        <w:t>Röntgenstrasse 17, Postfach, 8087 Zürich</w:t>
      </w:r>
    </w:p>
    <w:p>
      <w:r>
        <w:t>Beschwerdegegnerin</w:t>
      </w:r>
    </w:p>
    <w:p>
      <w:r>
        <w:t>Nachdem die Beschwerdegegnerin mit Verfügung vom 5. März 2008 X.___ auf der Basis eines Invaliditätsgrades von 59 % ab Dezember 2003 eine halbe Rente der Invalidenversicherung gewährt hat (Urk. 2),</w:t>
      </w:r>
    </w:p>
    <w:p>
      <w:r>
        <w:t>nach Einsicht in die Beschwerde vom 21. April 2008, mit welcher der Beschwerdeführer die Ausrichtung einer Invalidenrente auf der Grundlage eines Invaliditätsgrades von mindestens 61,65 % beantragt hat (Urk. 1), und in die auf reformatio in peius, eventualiter auf Abweisung der Beschwerde schliessende Beschwerdeantwort der Beschwerdegegnerin vom 20. Juni 2008 (Urk. 8),</w:t>
      </w:r>
    </w:p>
    <w:p>
      <w:r>
        <w:t>unter Hinweis auf die Verfügung des hiesigen Gerichts vom 24. Juni 2008, mit welcher ein zweiter Schriftenwechsel angeordnet wurde (Urk. 10), und die Eingabe des an seinen Anträgen festhaltenden Beschwerdeführers vom 25. August 2008 (Replik, Urk. 12),</w:t>
      </w:r>
    </w:p>
    <w:p>
      <w:r>
        <w:t>sowie unter Hinweis darauf, dass die Beschwerdegegnerin auf Erstattung einer Duplik verzichtete,</w:t>
      </w:r>
    </w:p>
    <w:p>
      <w:r>
        <w:t>in Erwägung,</w:t>
      </w:r>
    </w:p>
    <w:p>
      <w:r>
        <w:t>dass am 1. Januar 2008 die im Zuge der 5. IV-Revision geänderten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vom 6. Oktober 2006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Invalidität die voraussichtlich bleibende oder längere Zeit dauernde ganze oder teilweise Erwerbsunfähigkeit ist (Art. 8 Abs. 1 ATSG), und Folge von Geburtsgebrechen, Krankheit oder Unfall sein kann (Art. 4 Abs. 1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dass die Beurteilung der Arbeitsfähigkeit durch das Y.___ vom 15. März 2007, wonach dem Beschwerdeführer seine bisherige Tätigkeit als Kranführer nicht mehr, eine behinderungsangepasste Tätigkeit ohne Einnahme von Zwangshaltungen sowie Überkopfarbeiten, Rumpfrotationen oder Gehen in unebenem Gelände indes während zwei mal täglich drei Stunden zumutbar ist (Urk. 8/48/20), vom Beschwerdeführer zu Recht nicht in Frage gestellt wurde,</w:t>
      </w:r>
    </w:p>
    <w:p>
      <w:r>
        <w:t>dass der erst im vorliegenden Verfahren aufgelegte Bericht des Z.___ vom 29. Oktober 2007 (Urk. 3) keinerlei Anlass begründet, von der Einschätzung des Y.___ abzuweichen, war aufgrund bereits früher vom Beschwerdeführer geklagter persistierender Schmerzen am 18. Februar 2005 vom gleichen Zentrum eine MRI-Untersuchung des linken Knies durchgeführt worden, welche eine Arthrose mit ausgeprägten Knochenulcera und grossflächiger Degeneration sowohl im lateralen als auch medialen Meniskus visualierte (Urk. 8/34/8),</w:t>
      </w:r>
    </w:p>
    <w:p>
      <w:r>
        <w:t>dass mithin die ausgedehnten degenerativen Erscheinungen im linken Knie zur Zeit der gutachterlichen Exploration vom Januar 2007 (Urk. 8/48/1) bekannt waren und in der Beurteilung durch die Sachverständigen berücksichtigt wurden (vgl. Urk. 8/48/6),</w:t>
      </w:r>
    </w:p>
    <w:p>
      <w:r>
        <w:t>dass demnach einzig die Frage der Auswirkungen der eingeschränkten Leistungsfähigkeit des Beschwerdeführers auf dessen Erwerbsfähigkeit zu beurteilen sind,</w:t>
      </w:r>
    </w:p>
    <w:p>
      <w:r>
        <w:t>dass die Tätigkeit des Beschwerdeführers vom 15. Januar bis zum 26. Februar 2003 (vgl. Urk. 8/8/2) zu seinen Gunsten als gescheiterter Arbeitsversuch zu werten ist, war er doch gemäss Angaben des Arbeitgebers nur bis Ende November 2002 als Kranführer einsetzbar (Urk. 8/8/1), weshalb eine reformatio in peius (vgl. Urk. 8 S. 4) unterbleiben kann,</w:t>
      </w:r>
    </w:p>
    <w:p>
      <w:r>
        <w:t>dass die generell übliche Arbeitszeit im Jahre 2004 (mutmasslicher Rentenbeginn; vgl. Urk. 8/5/1) 41,6 Stunden betrug (Die Volkswirtschaft, 7-8/2009, Tab. B9.2, S. 90) und der Beschäftigungsgrad des Beschwerdeführers infolgedessen mit 72,12 % und das Invalideneinkommen mit Fr. 41'295.-- (Zentralwert gemäss LSE 2004: Fr. 4'588.-- x 12 : 40 x 41,6 = Fr. 57'258.--; davon 72,12 %) zu beziffern sind,</w:t>
      </w:r>
    </w:p>
    <w:p>
      <w:r>
        <w:t>dass sich in Bezug auf den leidensbedingten Abzug keine abweichende Ermessensausübung aufdrängt, wurde einerseits die Notwendigkeit längerer Pausen bereits im Belastungsprofil berücksichtigt, wird der von der Beschwerdegegnerin vorgenommene Abzug von 20 % auch der Teilzeiterwerbstätigkeit gerecht, und rechtfertigen weder Alter, Dienstjahre noch Nationalität eine über den gewährten Abzug hinausgehende Reduktion,</w:t>
      </w:r>
    </w:p>
    <w:p>
      <w:r>
        <w:t>dass mithin kein triftiger Grund vorliegt, welcher das Gericht berechtigte, sein Ermessen an die Stelle desjenigen der Beschwerdegegnerin setzten (vgl. BGE 126 V 75 Erw. 6; Urteil des Bundesgerichts in Sachen S. vom 14. Oktober 2008, 9C_721/2008, Erw. 1.3.2),</w:t>
      </w:r>
    </w:p>
    <w:p>
      <w:r>
        <w:t>dass das Invalideneinkommen folglich Fr. 33'036.-- (80 % von Fr. 41'295.--) beträgt,</w:t>
      </w:r>
    </w:p>
    <w:p>
      <w:r>
        <w:t>dass der Vergleich des von der Beschwerdegegnerin mittels Beschwerdeantwort zu Gunsten des Beschwerdeführers korrigierten Valideneinkommens von Fr. 81'124.-- (vgl. Urk. 8 S. 3) mit dem Invalideneinkommen zu einem (abgerundeten; BGE 130 V 121 Erw. 3.2) Invaliditätsgrad von 59 % führt, weshalb die Beschwerdegegnerin dem Beschwerdeführer zu Recht eine halbe Invalidenrente zusprach,</w:t>
      </w:r>
    </w:p>
    <w:p>
      <w:r>
        <w:t>dass das Verfahren gestützt auf Art. 69 Abs. 1 bis des IVG für die unterliegende Partei kostenpflichtig ist, die Kosten unabhängig vom Streitwert nach dem Verfahrensaufwand festzulegen und im vorliegenden Fall auf Fr. 600.-- anzusetzen und dem unterliegenden Beschwerdeführer aufzuerlegen sind,</w:t>
      </w:r>
    </w:p>
    <w:p>
      <w:r>
        <w:t>erkennt das Gericht:</w:t>
      </w:r>
    </w:p>
    <w:p>
      <w:r>
        <w:t>1.         Die Beschwerde wird abgewiesen.</w:t>
      </w:r>
    </w:p>
    <w:p>
      <w:r>
        <w:t>2.         Die Gerichtskosten von Fr. 600.-- werden dem Beschwerdeführer auferlegt. Rechnung und Einzahlungsschein werden dem Kostenpflichtigen nach Eintritt der Rechtskraft zugestellt.</w:t>
      </w:r>
    </w:p>
    <w:p>
      <w:r>
        <w:t>3.           Zustellung gegen Empfangsschein an:</w:t>
      </w:r>
    </w:p>
    <w:p>
      <w:r>
        <w:t>- Rechtsanwalt Dominique Chopard</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