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IV.2008.00293 vom 18. August 2008</w:t>
      </w:r>
    </w:p>
    <w:p>
      <w:r>
        <w:t>ZH Sozialversicherungsgericht, 2008-08-18, DE</w:t>
      </w:r>
    </w:p>
    <w:p>
      <w:r>
        <w:rPr>
          <w:b/>
        </w:rPr>
        <w:t xml:space="preserve">Quelle: </w:t>
      </w:r>
      <w:r>
        <w:t>https://mcp.opencaselaw.ch/entscheid/zh_sozialversicherungsgericht_IV.2008.00293</w:t>
      </w:r>
    </w:p>
    <w:p>
      <w:r>
        <w:t>FR: ZH_SOZIALVERSICHERUNGSGERICHT IV.2008.00293 du 18 août 2008</w:t>
      </w:r>
    </w:p>
    <w:p>
      <w:r>
        <w:t>IT: ZH_SOZIALVERSICHERUNGSGERICHT IV.2008.00293 del 18 agosto 2008</w:t>
      </w:r>
    </w:p>
    <w:p>
      <w:pPr>
        <w:pStyle w:val="Heading2"/>
      </w:pPr>
      <w:r>
        <w:t>Erwägungen</w:t>
      </w:r>
    </w:p>
    <w:p>
      <w:r>
        <w:rPr>
          <w:b/>
        </w:rPr>
        <w:t>E. 1</w:t>
      </w:r>
    </w:p>
    <w:p>
      <w:r>
        <w:t>1.1Â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Nach der Rechtsprechung erstreckt sich der Anspruch auf medizinische Massnahmen nach Art. 13 IVG (seit 1. Januar 2003: in Verbindung mit Art. 3 Abs. 2 ATSG) ausnahmsweise - und vorbehÃ¤ltlich der Haftung fÃ¼r das Eingliederungsrisiko nach Art. 11 IVG - auch auf die Behandlung sekundÃ¤rer GesundheitsschÃ¤den, die zwar nicht mehr zum Symptomenkreis des Geburtsgebrechens gehÃ¶ren, aber nach medizinischer Erfahrung hÃ¤ufig die Folge dieses Gebrechens sind. Zwischen dem Geburtsgebrechen und dem sekundÃ¤ren Leiden muss demnach ein qualifizierter adÃ¤quater Kausalzusammenhang bestehen. Nur wenn im Einzelfall dieser qualifizierte ursÃ¤chliche Zusammenhang zwischen sekundÃ¤rem Gesundheitsschaden und Geburtsgebrechen gegeben ist und sich die Behandlung Ã¼berdies als notwendig erweist, hat die Invalidenversicherung im Rahmen des Art. 13 IVG (seit 1. Januar 2003: in Verbindung mit Art. 3 Abs. 2 ATSG) fÃ¼r die medizinischen Massnahmen aufzukommen. An die ErfÃ¼llung der Voraussetzungen des rechtserheblichen Kausalzusammenhangs sind strenge Anforderungen zu stellen, zumal der Wortlaut des Art. 13 IVG (seit 1. Januar 2003: in Verbindung mit Art. 3 Abs. 2 ATSG) den Anspruch der versicherten MinderjÃ¤hrigen auf die Behandlung des Geburtsgebrechens an sich beschrÃ¤nkt (BGE 100 V 41 mit Hinweisen; AHI 2001 S. 79 Erw. 3a und 1998 S. 249 Erw. 2a; Urteil des EidgenÃ¶ssischen Versicherungsgerichtes in Sachen M. vom 2. August 2005, I 220/05; vgl. auch BGE 129 V 209 Erw. 3.3 mit Hinweis). Dabei ist fÃ¼r die Bejahung eines solch qualifizierten adÃ¤quaten Kausalzusammenhangs nicht ausschlaggebend, ob das sekundÃ¤re Leiden unmittelbare Folge des Geburtsgebrechens ist; auch mittelbare Folgen des angeborenen Grundleidens kÃ¶nnen zu diesem in einem qualifiziert adÃ¤quaten Kausalzusammenhang stehen (Pra 1991 Nr. 214 S. 906 Erw. 3b; Urteile des EidgenÃ¶ssischen Versicherungsgerichtes in Sachen M. vom 2. August 2005, I 220/05 und in Sachen Z. vom 9. Dezember 2002, I 108/02).</w:t>
      </w:r>
    </w:p>
    <w:p>
      <w:r>
        <w:t>1.3Â Â Â Â  Versicherte haben gemÃ¤ss Art. 12 Abs. 1 IVG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rPr>
          <w:b/>
        </w:rPr>
        <w:t>E. 1.4</w:t>
      </w:r>
    </w:p>
    <w:p>
      <w:r>
        <w:t>Â Â Â  Nach Art. 12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t>2.Â Â Â Â Â Â</w:t>
      </w:r>
    </w:p>
    <w:p>
      <w:r>
        <w:t>2.1Â Â Â Â  Die Beschwerdegegnerin begrÃ¼ndete die Abweisung des Begehrens um KostenÃ¼bernahme fÃ¼r die Ergotherapie damit, dass bei einem Turner-Syndrom nur StÃ¶rungen der Gonadenfunktion und des Wachstums zu Lasten der Invalidenversicherung gingen (Urk. 2). Die Versicherte leide an den Geburtsgebrechen gemÃ¤ss Ziffer 313 GgV-Anhang (Herz- und GefÃ¤ssmissbildungen) und Ziffer 488 GgV-Anhang (Turner-Syndrom). Die Kosten fÃ¼r die Behandlung dieser Gebrechen seien Ã¼bernommen worden (Urk. 6 S. 1 unten). Die Ergotherapie diene nicht der Behandlung der genannten Geburtsgebrechen an sich. Die Ergotherapie sei zwar aus medizinischer Sicht indiziert, jedoch bestehe zwischen den Geburtsgebrechen und den sekundÃ¤ren GesundheitsschÃ¤den (visuelle TeilleistungsschwÃ¤che und eingeschrÃ¤nkte KÃ¶rpereigenwahrnehmung) kein qualifizierter adÃ¤quater Zusammenhang (Urk. 6 S. 2 Mitte).</w:t>
      </w:r>
    </w:p>
    <w:p>
      <w:r>
        <w:t>2.2Â Â Â Â  Die BeschwerdefÃ¼hrerin fÃ¼hrte demgegenÃ¼ber im Wesentlichen aus, die Versicherte leide an einem Turner-Syndrom. Dieses Geburtsgebrechen bewirke unter anderem eine eingeschrÃ¤nkte KÃ¶rpereigenwahrnehmung, wie dies Dr. von A.___ und Dr. med. C.___, Ãrztin des Regionalen Ãrztlichen Dienstes (RAD), festgestellt hÃ¤tten. GemÃ¤ss Art. 13 Abs. 1 IVG seien die zur Behandlung der Geburtsgebrechen notwendigen Massnahmen zuzusprechen (Urk. 1 S. 4 Ziff. 4). Selbst wenn gestÃ¼tzt auf Art. 13 IVG kein Anspruch auf Ergotherapie bestÃ¼nde, so mÃ¼sste der Anspruch gestÃ¼tzt auf Art. 12 IVG gewÃ¤hrt werden, denn die medizinische Indikation sei unbestritten. Ebenso sei unbestritten, dass die Ergotherapie in Bezug auf die schulischen Anforderungen notwendig sei (Urk. 1 S. 2 Ziff. 5).</w:t>
      </w:r>
    </w:p>
    <w:p>
      <w:r>
        <w:t>2.3Â Â Â Â  Strittig und zu prÃ¼fen ist, ob die Beschwerdegegnerin die Kosten fÃ¼r die Ergotherapie als medizinische Massnahme zu Ã¼bernehmen hat.</w:t>
      </w:r>
    </w:p>
    <w:p>
      <w:r>
        <w:rPr>
          <w:b/>
        </w:rPr>
        <w:t>E. 3</w:t>
      </w:r>
    </w:p>
    <w:p>
      <w:r>
        <w:t>3.1Â Â Â Â  In ihrem Bericht vom 20. Mai 2002 diagnostizierten Dr. med. D.___, Kinder- und Jugendmedizin FMH, und Dr. med. E.___, Kinderspital ZÃ¼rich, bei der Versicherten ein Turner Syndrom mit Aortenisthmusstenose und Hufeisenniere (Urk. 7/4 S. 1 Mitte).</w:t>
      </w:r>
    </w:p>
    <w:p>
      <w:r>
        <w:t>3.2Â Â Â Â  Dr. von A.___ fÃ¼hrte in seinem Bericht vom 25. Juli 2007 aus, im Rahmen von Ziffer 488 GgV-Anhang zeige die Versicherte deutliche visuelle TeilleistungsschwÃ¤chen sowie eine deutlich visuelle und auditive MerkfÃ¤higkeitsschwÃ¤che. Ihre KÃ¶rpereigenwahrnehmung sei typisch fÃ¼r das Turnersyndrom eingeschrÃ¤nkt. Im Hinblick auf die schulischen Anforderungen sei eine Ergotherapie mit sensorischer Integrationstherapie dringend angezeigt. Die Versicherte zeige leichte feinmotorische AuffÃ¤lligkeiten mit einer Dysmetrie und Dysoraxie sowie eine TonuserhÃ¶hung in der Schulternackenmuskulatur beim Einlegen der Stecker ins Steckbett. Die Reflexe seien beinbetont abrupt und einschiessend. Der Rumpftonus sei generell leicht erniedrigt. Ferner wÃ¼rden die Befunde zu einer leichten spastischen Cerebralparese passen, seien aber nur minim ausgeprÃ¤gt. Die AuffÃ¤lligkeiten im visuell-figuralen und konstruktiven Denken seien durch das Turner-Syndrom bedingt (Urk. 7/37).</w:t>
      </w:r>
    </w:p>
    <w:p>
      <w:r>
        <w:t>3.3Â Â Â Â  Mit Stellungnahme vom 7. August 2007 fÃ¼hrte Dr. C.___, RAD, aus, Dr. von A.___ schildere eine eingeschrÃ¤nkte KÃ¶rpereigenwahrnehmung, die bei Kindern mit Turner-Syndrom wirklich oft auftrete. Medizinisch gesehen sei eine Ergotherapie indiziert. Diese kÃ¶nne aber von der Beschwerdegegnerin nicht Ã¼bernommen werden, da bei Geburtsgebrechen gemÃ¤ss Ziffer 488 GgV-Anhang nur die StÃ¶rung der Gonadenfunktion und die WachstumsstÃ¶rung Ã¼bernommen wÃ¼rden (Urk. 7/38).</w:t>
      </w:r>
    </w:p>
    <w:p>
      <w:r>
        <w:rPr>
          <w:b/>
        </w:rPr>
        <w:t>E. 4</w:t>
      </w:r>
    </w:p>
    <w:p>
      <w:r>
        <w:t>4.1Â Â Â Â  Fest steht, dass die Versicherte an Geburtsgebrechen gemÃ¤ss Ziffer 488 GgV-Anhang (Turner-Syndrom) und Ziffer 313 GgV-Anhang (angeborene Herz- und GefÃ¤ssmissbildungen) leidet. Die BeschwerdefÃ¼hrerin fÃ¼hrte aus, die Ergotherapie sei indiziert und von der Beschwerdegegnerin in Bezug auf das Turner-Syndrom zu Ã¼bernehmen (Urk. 1 S. 5 unten f.). Ziffer 488 GgV-Anhang enthÃ¤lt jedoch die EinschrÃ¤nkung, dass beim Turner-Syndrom nur die notwendigen Massnahmen bezÃ¼glich StÃ¶rungen der Gonadenfunktion und des Wachstums von der Invalidenversicherung Ã¼bernommen werden. Um solche StÃ¶rungen geht es hier aber nicht. GemÃ¤ss dem Bericht von Dr. von A.___ vom 25. Juli 2007 ist die Ergotherapie zur Behandlung der visuellen TeilleistungsschwÃ¤chen und der deutlich visuellen und auditiven MerkfÃ¤higkeitsschwÃ¤che sowie der eingeschrÃ¤nkten KÃ¶rpereigenwahrnehmung angezeigt (Urk. 7/37), was keine StÃ¶rungen der Gonadenfunktion oder des Wachstums sind.</w:t>
      </w:r>
    </w:p>
    <w:p>
      <w:r>
        <w:t>4.2Â Â Â Â  Ausnahmsweise erstreckt sich der Anspruch auf medizinische Massnahmen auch auf die Behandlung sekundÃ¤rer GesundheitsschÃ¤den (vgl. zum Ganzen Erw. 1.2). Bejaht wurde der qualifizierte adÃ¤quate Kausalzusammenhang beispielsweise zwischen Prader-Willi-Syndrom (Ziffer 462 GgV-Anhang) und morbider Adipositas, weil diese eine fast zwangslÃ¤ufige Konsequenz des Prader-Willi-Syndroms sei (AHI 2001 S. 79 Erw. 3b). Gleich entschieden wurde im Falle einer Versicherten, welche an einer angeborenen Leukopenie (Ziffer 322 GgV-Anhang) und einer Gingivitis litt, dies mit der BegrÃ¼ndung, Infektionen der SchleimhÃ¤ute stellten unmittelbare Folgen der Leukopenie dar und kÃ¶nnten mittelbar zu ZahnfleischentzÃ¼ndungen fÃ¼hren, welche wiederum Parodontose verursachen kÃ¶nnten, sodass aufgrund dieser Verkettung das Risiko von weiteren Folgen des Grundleidens derart immanent zu diesem selbst sei, dass der natÃ¼rliche Kausalzusammenhang besonders eng sei und die AdÃ¤quanz augenfÃ¤llig erscheine (Pra 1991 Nr. 214 S. 906 Erw. 4a). Im Lichte der Rechtsprechung stellte das EidgenÃ¶ssische Versicherungsgericht fest, dass die HÃ¤ufigkeit des sekundÃ¤ren Leidens nicht das allein entscheidende Kriterium fÃ¼r die Bejahung eines qualifizierten adÃ¤quaten Kausalzusammenhangs darstellt (Urteil der EidgenÃ¶ssischen Versicherungsgerichts in Sachen A. vom 14. Oktober 2004, I 438/02).</w:t>
      </w:r>
    </w:p>
    <w:p>
      <w:r>
        <w:t>Â Â Â Â Â Â Â Â  Es kann nicht ohne weiteres abgeleitet werden, dass die visuelle TeilleistungsschwÃ¤che und die deutlich visuelle und auditive MerkfÃ¤higkeitsschwÃ¤che sowie die eingeschrÃ¤nkte KÃ¶rpereigenwahrnehmung, wie sie bei der Versicherten auftreten, typisch fÃ¼r das Turner-Syndrom sind und daher ein qualifizierter adÃ¤quater Kausalzusammenhang gegeben ist. Vielmehr wird damit lediglich das Vorliegen eines Kausalzusammenhangs zwischen den von Dr. von A.___ aufgefÃ¼hrten AuffÃ¤lligkeiten als mittelbares Leiden und dem angeborenen Grundleiden bestÃ¤tigt. Die Bejahung eines qualifizierten adÃ¤quaten Kausalzusammenhangs hÃ¤ngt gemÃ¤ss Rechtsprechung nicht allein von der HÃ¤ufigkeit des sekundÃ¤ren Leidens ab. So wÃ¤re nur schwer einzusehen, weshalb eine an einem Geburtsgebrechen leidende versicherte Person, bei der ein seltenes Folgeleiden auftrÃ¤te, keinen Behandlungsanspruch hÃ¤tte, wÃ¤hrend diejenigen versicherten Personen, bei denen ein hÃ¤ufig auftretender sekundÃ¤rer Gesundheitsschaden bestÃ¼nde, dafÃ¼r einen Behandlungsanspruch begrÃ¼ndeten. Mithin hat ein qualitatives Element hinzuzutreten (Urteil des EidgenÃ¶ssischen Versicherungsgerichts in Sachen T. vom 6. Juli 2005, I 801/04 Erw. 2.3). Dr. von A.___ fÃ¼hrte in seinem Bericht vom 25. Juli 2007 aus, er denke, dass die AuffÃ¤lligkeiten im visuell-figuralen und konstruktiven Denken durch das Turner-Syndrom bedingt seien (Urk. 7/37). Diese vage Aussage allein reicht nicht aus, um den qualifizierten adÃ¤quaten Kausalzusammenhang zwischen der visuellen TeilleistungsschwÃ¤che und der deutlich visuellen und auditiven MerkfÃ¤higkeitsschwÃ¤che sowie der eingeschrÃ¤nkte KÃ¶rpereigenwahrnehmung und dem Turner-Syndrom zu bejahen, da die genannten AuffÃ¤lligkeiten beinahe die zwangslÃ¤ufige Konsequenz des Geburtsgebrechens darstellen mÃ¼ssten.</w:t>
      </w:r>
    </w:p>
    <w:p>
      <w:r>
        <w:t>Â Â Â Â Â Â Â Â  Bei dieser Ausgangslage steht fest, dass die Invalidenversicherung gestÃ¼tzt auf Art. 13 IVG die in Frage stehende Ergotherapie nicht zu Ã¼bernehmen hat.</w:t>
      </w:r>
    </w:p>
    <w:p>
      <w:r>
        <w:t>4.3Â Â Â Â  Beschwerdeweise machte die BeschwerdefÃ¼hrerin weiter geltend, selbst wenn gestÃ¼tzt auf Art. 13 IVG kein Anspruch auf Ergotherapie bestÃ¼nde, diese gestÃ¼tzt auf Art. 12 IVG zu Ã¼bernehmen sei, da die medizinische Indikation und die Notwendigkeit der Ergotherapie im Hinblick auf die schulischen Anforderungen unbestritten seien (Urk. 1 S. 5 Ziff. 5). Damit ist ein auf Art. 12 IVG gestÃ¼tzter Anspruch auf Ergotherapie zu prÃ¼fen (vgl. Erw. 1.4).</w:t>
      </w:r>
    </w:p>
    <w:p>
      <w:r>
        <w:t>Â Â Â Â Â Â Â Â  Art. 12 IVG setzt die Prognose voraus, dass ohne die vorbeugende Behandlung in naher Zukunft eine bleibende BeeintrÃ¤chtigung eintreten wÃ¼rde. Gleichzeitig muss ein ebenso stabiler Zustand herbeigefÃ¼hrt werden kÃ¶nnen, in welchem vergleichsweise erheblich verbesserte Voraussetzungen fÃ¼r die spÃ¤tere Ausbildung und ErwerbsfÃ¤higkeit bestehen. Daraus folgt, dass eine therapeutische Vorkehr, deren Wirkung sich in der UnterdrÃ¼ckung von Symptomen erschÃ¶pft, nicht als medizinische Massnahme im Sinne des Art. 12 IVG gelten kann, selbst wenn sie im Hinblick auf die schulische und erwerbliche Eingliederung unabdingbar ist. Denn sie Ã¤ndert am Fortdauern eines labilen Krankheitsgeschehens nichts und dient dementsprechend nicht der Verhinderung eines stabilen pathologischen Zustandes. Deswegen genÃ¼gt auch eine gÃ¼nstige Beeinflussung der Krankheitsdynamik allein nicht, wenn eine spontane, nicht kausal auf die therapeutische Massnahme zurÃ¼ckzufÃ¼hrende Heilung zu erwarten ist, oder wenn die Entstehung eines stabilen Defekts mit Hilfe von Dauertherapie lediglich hinausgeschoben werden soll (Urteil des Bundesgerichts in Sachen S. vom 29. Juni 2007, I 501/06 Erw. 5.2 mit Hinweisen).</w:t>
      </w:r>
    </w:p>
    <w:p>
      <w:r>
        <w:t>4.4Â Â Â Â  Es ist unbestritten, dass die visuelle TeilleistungsschwÃ¤che und die deutlich visuelle und auditive MerkfÃ¤higkeitsschwÃ¤che sowie die eingeschrÃ¤nkte KÃ¶rpereigenwahrnehmung, welche mit der beantragten Ergotherapie angegangen werden sollen, die Versicherte in der Schule behindern werden. Ziel der Ergotherapie ist es, Patienten, die in ihrer HandlungsfÃ¤higkeit eingeschrÃ¤nkt oder von EinschrÃ¤nkungen bedroht sind, bei fÃ¼r sie bedeutungsvollen BetÃ¤tigungen zu unterstÃ¼tzen und sie darin zu stÃ¤rken. Es geht somit darum, die Auswirkungen des Leidens zu neutralisieren und in wesentlichen Lebensbereichen eine HandlungsfÃ¤higkeit zu erreichen (vgl. BGE 130 V 284 Erw. 5.1.3 und Erw. 5.3.3). Insofern beeinflusst die Vorkehr die ausbildungsmÃ¤ssige und letztlich auch die erwerbliche Eingliederung (Urteil des EidgenÃ¶ssischen Versicherungsgerichts in Sachen J. vom 23. Dezember 2005, I 258/05 Erw. 3.2.2). Damit ist der Ã¼berwiegende Eingliederungscharakter der Massnahme indessen noch nicht erstellt. Mit der Ergotherapie soll dem Risiko von Schulleistungsschwierigkeiten entgegengewirkt werden. Aufgrund der vorliegenden Akten bestehen jedoch keine Anhaltspunkte dafÃ¼r, dass Ergotherapie zur Vermeidung eines stabilen Defektzustandes notwendig wÃ¤re. Damit sind die Voraussetzungen zur Ãbernahme der Ergotherapie gestÃ¼tzt auf Art. 12 IVG nicht erfÃ¼llt.</w:t>
      </w:r>
    </w:p>
    <w:p>
      <w:r>
        <w:t>4.5Â Â Â Â  Zusammengefasst ist somit festzuhalten, dass die Kosten fÃ¼r die Ergotherapie weder gestÃ¼tzt auf Art. 13 noch Art. 12 IVG von der Invalidenversicherung zu Ã¼bernehmen sind, so dass der angefochtene Entscheid nicht zu beanstanden ist, was zur Abweisung der Beschwerde fÃ¼hrt.</w:t>
      </w:r>
    </w:p>
    <w:p>
      <w:r>
        <w:t>5.Â Â Â Â Â Â  Das Verfahren ist kostenpflichtig (vgl. Art. 62 Abs. 2 IVG). Die Kosten sind auf Fr. 800-- festzulegen und ausgangsgemÃ¤ss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SWICA Krankenversicherung AG</w:t>
      </w:r>
    </w:p>
    <w:p>
      <w:r>
        <w:t>- Sozialversicherungsanstalt des Kantons ZÃ¼rich, IV-Stelle</w:t>
      </w:r>
    </w:p>
    <w:p>
      <w:r>
        <w:t>- U.___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