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IV.2007.01576 vom 21. Mai 2008</w:t>
      </w:r>
    </w:p>
    <w:p>
      <w:r>
        <w:t>ZH Sozialversicherungsgericht, 2008-05-21, DE</w:t>
      </w:r>
    </w:p>
    <w:p>
      <w:r>
        <w:rPr>
          <w:b/>
        </w:rPr>
        <w:t xml:space="preserve">Quelle: </w:t>
      </w:r>
      <w:r>
        <w:t>https://mcp.opencaselaw.ch/entscheid/zh_sozialversicherungsgericht_IV.2007.01576</w:t>
      </w:r>
    </w:p>
    <w:p>
      <w:r>
        <w:t>FR: ZH_SOZIALVERSICHERUNGSGERICHT IV.2007.01576 du 21 mai 2008</w:t>
      </w:r>
    </w:p>
    <w:p>
      <w:r>
        <w:t>IT: ZH_SOZIALVERSICHERUNGSGERICHT IV.2007.01576 del 21 maggio 2008</w:t>
      </w:r>
    </w:p>
    <w:p>
      <w:pPr>
        <w:pStyle w:val="Heading2"/>
      </w:pPr>
      <w:r>
        <w:t>Erwägungen</w:t>
      </w:r>
    </w:p>
    <w:p>
      <w:r>
        <w:rPr>
          <w:b/>
        </w:rPr>
        <w:t>E. 1</w:t>
      </w:r>
    </w:p>
    <w:p>
      <w:r>
        <w:t>A.___, geboren 1977, war vom 15. April bis 31. Oktober 2004 bei der B.___ AG, C.___, als Gipser tÃ¤tig (Urk. 10/5 Ziff. 6.3). Am 1. Februar 2007 meldete sich der Versicherte wegen eines am 16. Oktober 2004 erlittenen Unfalls bei der Invalidenversicherung zum Leistungsbezug (Berufsberatung, Umschulung auf eine neue TÃ¤tigkeit, Rente) an (Urk. 10/5 Ziff. 7.1, Ziff. 7.8). Die Sozialversicherungsanstalt des Kantons ZÃ¼rich, IV-Stelle, holte verschiedene Arztberichte (Urk. 10/13) sowie einen Auszug aus dem individuellen Konto des Versicherten (IK-Auszug; Urk. 10/12) ein und zog die Akten der Unfallversicherung bei (Urk. 10/4). Mit Vorbescheid vom 10. September 2007 wurde dem Versicherten die Abweisung des Leistungsgesuchs in Aussicht gestellt (Urk. 10/23).</w:t>
      </w:r>
    </w:p>
    <w:p>
      <w:r>
        <w:t>Mit Einwand vom 4. Oktober 2007 (Urk. 10/24) machte der Versicherte geltend, weiterhin zu 100 % arbeitsunfÃ¤hig zu sein, und ersuchte gleichzeitig um Erstreckung der Einwandfrist zwecks Ausarbeitung der BegrÃ¼ndung. Mit Schreiben vom 10. Oktober 2007 (Urk. 10/26) bestÃ¤tigte die IV-Stelle den Empfang des Einwandes und teilte mit, dass dieser geprÃ¼ft werde. Mit VerfÃ¼gung vom 14. November 2007 verneinte die IV-Stelle einen Anspruch des Versicherten auf Leistungen der Invalidenversicherung (Urk. 10/28 = Urk. 2).</w:t>
      </w:r>
    </w:p>
    <w:p>
      <w:r>
        <w:rPr>
          <w:b/>
        </w:rPr>
        <w:t>E. 2</w:t>
      </w:r>
    </w:p>
    <w:p>
      <w:r>
        <w:t>Gegen die VerfÃ¼gung vom 14. November 2007 (Urk. 2) erhob der Versicherte am 17. Dezember 2007 Beschwerde mit dem Antrag auf Aufhebung des angefochtenen Entscheides und RÃ¼ckweisung der Sache, eventualiter Zusprache einer ganzen Rente. In prozessualer Hinsicht beantragte der BeschwerdefÃ¼hrer, es sei ein zweiter Schriftenwechsel durchzufÃ¼hren und es sei ihm die unentgeltliche ProzessfÃ¼hrung und Rechtsvertretung zu gewÃ¤hren (Urk. 1 S. 1).</w:t>
      </w:r>
    </w:p>
    <w:p>
      <w:r>
        <w:t>Am 7. Januar 2008 wurde dem BeschwerdefÃ¼hrer die unentgeltliche ProzessfÃ¼hrung gewÃ¤hrt und Rechtsanwalt Georg Engeli, Winterthur, als unentgeltlicher Rechtsvertreter bestellt (Urk. 7). Mit Beschwerdeantwort vom 5. Februar 2008 (Urk. 9) beantragte die Beschwerdegegnerin Nichteintreten auf die Beschwerde. Am 19. Februar 2008 wurde der Schriftenwechsel geschlossen (Urk. 11).</w:t>
      </w:r>
    </w:p>
    <w:p>
      <w:r>
        <w:t>Das Gericht zieht in ErwÃ¤gung:</w:t>
      </w:r>
    </w:p>
    <w:p>
      <w:r>
        <w:t>1.Â Â Â Â Â Â</w:t>
      </w:r>
    </w:p>
    <w:p>
      <w:r>
        <w:t>1.1Â Â Â Â  GemÃ¤ss Art. 57a Abs. 1 des Bundesgesetzes Ã¼ber die Invalidenversicherung (IVG) teilt die IV-Stelle der versicherten Person den vorgesehenen Endentscheid Ã¼ber ein Leistungsbegehren mittels Vorbescheid mit. Die versicherte Person hat Anspruch auf rechtliches GehÃ¶r im Sinne von Artikel 42 des Bundesgesetzes Ã¼ber den Allgemeinen Teil des Sozialversicherungsgerichts (ATSG), das heisst, sie ist vor Erlass von VerfÃ¼gungen anzuhÃ¶ren, wenn diese nicht durch Einsprache anfechtbar sind.</w:t>
      </w:r>
    </w:p>
    <w:p>
      <w:r>
        <w:t>Â Â Â Â Â Â Â Â  In Art. 73 ter der Verordnung Ã¼ber die Invalidenversicherung (IVV) hat der Bundesrat das Vorbescheidverfahren nÃ¤her geregelt. Abs. 1 von Art. 73 ter IVV bestimmt, dass die Parteien innerhalb einer Frist von 30 Tagen EinwÃ¤nde zum Vorbescheid vorbringen kÃ¶nnen. Abs. 2 der Bestimmung sieht ferner vor, dass die versicherte Person ihre EinwÃ¤nde schriftlich oder mÃ¼ndlich bei der IV-Stelle vorbringen kÃ¶nnen. Bei mÃ¼ndlich vorgetragenen EinwÃ¤nden erstellt die IV-Stelle ein summarisches, von der versicherten Person zu unterzeichnendes Protokoll.</w:t>
      </w:r>
    </w:p>
    <w:p>
      <w:r>
        <w:t>1.2Â Â Â Â  Das Gesetz muss in erster Linie aus sich selbst heraus, das heisst nach dem Wortlaut, Sinn und Zweck und den ihm zugrunde liegenden Wertungen ausgelegt werden. Die Gesetzesauslegung hat sich vom Gedanken leiten zu lassen, dass nicht schon der Wortlaut die Norm darstellt, sondern erst das an Sachverhalten verstandene und konkretisierte Gesetz. Gefordert ist die sachlich richtige Entscheidung im normativen GefÃ¼ge, ausgerichtet auf ein befriedigendes Ergebnis der ratio legis. Dabei befolgt das Bundesgericht einen pragmatischen Methodenpluralismus und lehnt es namentlich ab, die einzelnen Auslegungselemente einer hierarchischen PrioritÃ¤tsordnung zu unterstellen (BGE 128 I 40 Erw. 3b). Es kÃ¶nnen auch die Gesetzesmaterialien beigezogen werden, wenn sie auf die streitige Frage eine klare Antwort geben und dem Gericht damit weiterhelfen (BGE 131 III 35 Erw. 2, 65 Erw. 2.2).</w:t>
      </w:r>
    </w:p>
    <w:p>
      <w:r>
        <w:t>Â Â Â Â Â Â Â Â  Auch Verordnungsrecht ist gesetzeskonform auszulegen. Es sind die gesetzgeberischen Anordnungen, Wertungen und der in der Delegationsnorm erÃ¶ffnete Gestaltungsspielraum mit seinen Grenzen zu berÃ¼cksichtigen. Der klare Sinn einer Gesetzesnorm darf indessen nicht durch eine verfassungskonforme Auslegung beiseite geschoben werden (BGE 128 V 24 Erw.3a, 126 V 472 Erw. 5a, 122 V 93 Erw. 5a/aa).</w:t>
      </w:r>
    </w:p>
    <w:p>
      <w:r>
        <w:t>Â Â Â Â Â Â Â Â  Nach der Rechtsprechung kann das Gericht Verordnungen des Bundesrates grundsÃ¤tzlich - von hier nicht in Betracht fallenden Ausnahmen abgesehen - auf ihre RechtmÃ¤ssigkeit hin Ã¼berprÃ¼fen. Bei unselbstÃ¤ndigen Verordnungen, die sich auf eine gesetzliche Delegation stÃ¼tzen, geht es in erster Linie darum zu beurteilen, ob sie sich im Rahmen der Delegationsnorm halten. Besteht ein sehr weiter Spielraum des Ermessens fÃ¼r die Regelung auf Verordnungsebene, muss sich das Gericht auf die PrÃ¼fung beschrÃ¤nken, ob die umstrittenen Vorschriften offensichtlich aus dem Rahmen der im Gesetz delegierten Kompetenzen herausfallen oder aus andern GrÃ¼nden verfassungs- oder gesetzwidrig sind (vgl. Art. 191 BV). Es kann sein eigenes Ermessen nicht an die Stelle desjenigen des Bundesrates setzen, und es hat auch nicht die ZweckmÃ¤ssigkeit zu untersuchen (BGE 131 V 14 Erw. 3.4.1, 131 II 566 Erw. 3.2, 740 Erw. 4.1). Die vom Bundesrat verordnete Regelung verstÃ¶sst allerdings dann gegen das WillkÃ¼rverbot oder das Gebot der rechtsgleichen Behandlung (Art. 9 und Art. 8 Abs. 1 BV), wenn sie sich nicht auf ernsthafte GrÃ¼nde stÃ¼tzen lÃ¤sst, wenn sie sinn- oder zwecklos ist oder wenn sie rechtliche Unterscheidungen trifft, fÃ¼r die sich ein vernÃ¼nftiger Grund nicht finden lÃ¤sst. Gleiches gilt, wenn die Verordnung es unterlÃ¤sst, Unterscheidungen zu treffen, die richtigerweise hÃ¤tten berÃ¼cksichtigt werden sollen (BGE 131 II 166 Erw. 2.3, 275 Erw. 4, 131 V 266 Erw. 5.1, 130 V 473 Erw. 6.1, 130 I 32 Erw. 2.2.1, 129 II 164 Erw. 2.3, 129 V 271 Erw. 4.1.1, 329 Erw. 4.1, je mit Hinweisen; vgl. auch BGE 130 V 45 Erw. 4.3).</w:t>
      </w:r>
    </w:p>
    <w:p>
      <w:r>
        <w:t>1.3Â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127 V 437 Erw. 3d/aa, 126 V 132 Erw. 2b mit Hinweisen).</w:t>
      </w:r>
    </w:p>
    <w:p>
      <w:r>
        <w:t>2.Â Â Â Â Â Â</w:t>
      </w:r>
    </w:p>
    <w:p>
      <w:r>
        <w:rPr>
          <w:b/>
        </w:rPr>
        <w:t>E. 2.1</w:t>
      </w:r>
    </w:p>
    <w:p>
      <w:r>
        <w:t>Streitig und zu prÃ¼fen ist, ob die Frist zur Geltendmachung von EinwÃ¤nden zum Vorbescheid (Art. 73 ter IVV) erstreckbar ist. Auf die Beschwerde ist deshalb entgegen dem Antrag der Beschwerdegegnerin (vgl. Urk. 9 S. 1) einzutreten.</w:t>
      </w:r>
    </w:p>
    <w:p>
      <w:r>
        <w:rPr>
          <w:b/>
        </w:rPr>
        <w:t>E. 2.2</w:t>
      </w:r>
    </w:p>
    <w:p>
      <w:r>
        <w:t>WÃ¤hrend die Beschwerdegegnerin davon ausgeht, dass es sich bei der Frist nach Art. 73 ter IVV um eine gesetzliche Rechtsmittelfrist handle, die nicht erstreckbar sei, und der BeschwerdefÃ¼hrer im Begleitschreiben zum Vorbescheid ausdrÃ¼cklich auf diesen Umstand hingewiesen worden sei (Urk. 9 S. 1 f.), macht der BeschwerdefÃ¼hrer geltend, es sei auf sein Fristerstreckungsgesuch nicht reagiert worden. Die VerfÃ¼gung sei mit dem Hinweis ergangen, dass innerhalb der Nachfrist (richtig wohl: innerhalb der Frist, vgl. Urk. 2 S. 2 oben) keine BegrÃ¼ndung des Einwands eingereicht worden sei (Urk. 1 S. 2).</w:t>
      </w:r>
    </w:p>
    <w:p>
      <w:r>
        <w:rPr>
          <w:b/>
        </w:rPr>
        <w:t>E. 2.3</w:t>
      </w:r>
    </w:p>
    <w:p>
      <w:r>
        <w:t>Unbestritten ist, dass das Fristerstreckungsgesuch vom 4. Oktober 2007 (Urk. 10/24; vgl. den dortigen Vermerk) rechtzeitig gestellt wurde. Zur BegrÃ¼ndung fÃ¼hrte der Rechtsvertreter des BeschwerdefÃ¼hrers an, es sei ihm nicht mÃ¶glich gewesen, innerhalb der Einwandfrist die BegrÃ¼ndung auszuarbeiten.</w:t>
      </w:r>
    </w:p>
    <w:p>
      <w:r>
        <w:rPr>
          <w:b/>
        </w:rPr>
        <w:t>E. 3</w:t>
      </w:r>
    </w:p>
    <w:p>
      <w:r>
        <w:t>Die Beschwerdegegnerin wird verpflichtet, dem unentgeltlichen Rechtsvertreter des BeschwerdefÃ¼hrers, Rechtsanwalt Georg Engeli, Winterthur, eine ProzessentschÃ¤digung von Fr. 1'052.85 (inkl. Barauslagen und MWSt) zu bezahlen.</w:t>
      </w:r>
    </w:p>
    <w:p>
      <w:r>
        <w:rPr>
          <w:b/>
        </w:rPr>
        <w:t>E. 3.1</w:t>
      </w:r>
    </w:p>
    <w:p>
      <w:r>
        <w:t>Das hiesige Gericht hat bereits mit rechtskrÃ¤ftigem Urteil vom 25. Oktober 2007 in Sachen K. (Prozess-Nr. IV.2007.01075) die Frage der Erstreckbarkeit der Einwandfrist nach Art. 73 ter IVV geprÃ¼ft und erkannt, dass gemÃ¤ss der Botschaft des Bundesrates vom 4. Mai 2005 zur 4. Revision des IVG (vgl. BBl 2005 S. 3088) ausdrÃ¼cklich die Erstreckbarkeit der Einwandfrist aus zureichenden GrÃ¼nden vorgesehen ist, wenn rechtzeitig darum ersucht wird (vgl. Erw. 2.1 und Erw. 3.3 im Prozess-Nr. IV.2007.01075). Ferner wurde in der Botschaft explizit ausgefÃ¼hrt, die Akzeptanz der IV-Entscheide kÃ¶nne Âviel besser dadurch erreicht werden, dass die Betroffenen vor Erlass einer VerfÃ¼gung in die Ermittlung des rechtserheblichen Sachverhalts und die im Einzelfall adÃ¤quaten Massnahmen einbezogen werden. Dieses Vorgehen erlaubt, im persÃ¶nlichen GesprÃ¤ch mit den betroffenen Versicherten Unklarheiten zu beseitigen, gemeinsam verschiedene Eingliederungsmassnahmen zu evaluieren und gegebenenfalls die BeweggrÃ¼nde fÃ¼r einen voraussichtlich ablehnenden oder anders lautenden Entscheid der IV-Stelle zu erlÃ¤uternÂ (Botschaft, a.a.O, S. 3084 f.).</w:t>
      </w:r>
    </w:p>
    <w:p>
      <w:r>
        <w:t>In der Nationalratsdebatte fÃ¼hrte der zustÃ¤ndige Bundesrat insbesondere aus: ÂLa procÃ©dure de prÃ©avis permettra un dialogue prÃ©alable avec la personne assurÃ©eÂ (Amtl. Bull. 2005 NR S. 1373), und in der StÃ¤ndratsdebatte charakterisierte er das Vorbescheidverfahren als Âune discussion avec lÂassurÃ©, le demandeur de rente, pour lui expliquer ce qui se passe et pour lui dire les raisons pour lesquelles on va dire nonÂ, als Âla possibilitÃ© de prendre en compte son opinion et dÂentendre ses plaintesÂ (Amtl. Bull. 2005 StR S. 1017).</w:t>
      </w:r>
    </w:p>
    <w:p>
      <w:r>
        <w:rPr>
          <w:b/>
        </w:rPr>
        <w:t>E. 3.2</w:t>
      </w:r>
    </w:p>
    <w:p>
      <w:r>
        <w:t>Auch die Parlamentsdebatte zeigt unmissverstÃ¤ndlich, dass das Ziel der VerfahrensÃ¤nderung nebst der verbesserten Akzeptanz von Entscheiden der IV-Stellen die Vereinfachung des Verfahrens war. Die Stossrichtung der Novelle zielte darauf ab, das Einspracheverfahren mit seinen formellen ZwÃ¤ngen (insbesondere Einhaltung der Einsprachefrist) aufzugeben und der versicherten Person ein formloseres Verfahren zur Einbringung der EinwÃ¤nde durch die versicherte Person zur VerfÃ¼gung zu stellen. So wurde im Nationalrat etwa ausgefÃ¼hrt, die IV-Stellen wollten Âals Normalfall den direkten Dialog mit den Versicherten in einem relativ informellen Rahmen wiederherstellenÂ (Amtl. Bull. 2005 NR S. 1376) und das Vorbescheidverfahren als ÂpossibilitÃ© pour lÂassurÃ© de discuter la dÃ©cision avant quÂelle soit dÃ©finitivement priseÂ charakterisiert (Amtl. Bull. 2005 NR S. 1370).</w:t>
      </w:r>
    </w:p>
    <w:p>
      <w:r>
        <w:rPr>
          <w:b/>
        </w:rPr>
        <w:t>E. 3.3</w:t>
      </w:r>
    </w:p>
    <w:p>
      <w:r>
        <w:t>Eine nicht erstreckbare Frist lÃ¤uft diesem gesetzlichen Ziel zuwider. Der mit Art. 73 ter Abs. 1 IVV fÃ¼r das Vorbescheidverfahren aufgestellte Fristenzwang ohne ErstreckungsmÃ¶glichkeit ist somit nicht gesetzeskonform. Die Verweigerung einer Fristerstreckung trotz rechtzeitiger Stellung des Erstreckungsgesuchs respektive der Erlass der VerfÃ¼gung ohne vorgÃ¤ngige AnhÃ¶rung der EinwÃ¤nde stellt demnach eine Verweigerung des GehÃ¶rsanspruchs dar und fÃ¼hrt zur Aufhebung der angefochtenen VerfÃ¼gung (vgl. vorstehend Erw. 1.3). Dass der BeschwerdefÃ¼hrer mit seinem Gesuch vom 4. Oktober 2007 keinen zureichenden Grund fÃ¼r eine Fristerstreckung genannt gemacht haben sollte, wird von der Beschwerdegegnerin nicht geltend gemacht und ist hier nicht weiter zu prÃ¼fen.</w:t>
      </w:r>
    </w:p>
    <w:p>
      <w:r>
        <w:t>4.Â Â Â Â Â Â Â Â  Zusammenfassend ist festzuhalten, dass die angefochtene VerfÃ¼gung unter Verletzung des Anspruchs des BeschwerdefÃ¼hrers auf rechtliches GehÃ¶r erging. Dies fÃ¼hrt zur Aufhebung der angefochtenen VerfÃ¼gung ungeachtet der Erfolgsaussichten in der Sache selbst. Die Angelegenheit ist zur erneuten DurchfÃ¼hrung des Vorbescheidverfahrens unter GewÃ¤hrung des rechtlichen GehÃ¶rs an die Beschwerdegegnerin zurÃ¼ckzuweisen. Dementsprechend ist auf den Antrag auf DurchfÃ¼hrung eines zweiten Schriftenwechsels vor dem hiesigen Gericht (Urk. 1 S. 1) nicht einzutreten.</w:t>
      </w:r>
    </w:p>
    <w:p>
      <w:r>
        <w:t>5.Â Â Â Â Â Â</w:t>
      </w:r>
    </w:p>
    <w:p>
      <w:r>
        <w:t>5.1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500.-- als angemessen. AusgangsgemÃ¤ss sind die Kosten der Beschwerdegegnerin aufzuerlegen.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ist gestÃ¼tzt auf Â§ 34 Abs. 1 und 3 des Gesetzes Ã¼ber das Sozialversicherungsgericht in Verbindung mit Â§ 7 Abs. 1 der Verordnung Ã¼ber die GebÃ¼hren, Kosten und EntschÃ¤digungen vor dem Sozialversicherungsgericht, unter BerÃ¼cksichtigung der Bedeutung der Streitsache und der Schwierigkeit des Prozesses sowie nach Einsicht in die Honorarnote vom 9. Mai 2008 (Urk. 13) auf Fr. 1'052.85 (inkl. Mehrwertsteuer und Barauslagen) festzusetzen.</w:t>
      </w:r>
    </w:p>
    <w:p>
      <w:r>
        <w:t>Das Gericht erkennt:</w:t>
      </w:r>
    </w:p>
    <w:p>
      <w:r>
        <w:t>1. Die Beschwerde wird, soweit auf sie eingetreten wird, in dem Sinne gutgeheissen, dass die angefochtene VerfÃ¼gung vom 14. November 2007 aufgehoben und die Sache an die Sozialversicherungsanstalt des Kantons ZÃ¼rich, IV-Stelle, zur erneuten DurchfÃ¼hrung des Vorbescheidverfahrens unter GewÃ¤hrung des rechtlichen GehÃ¶rs zurÃ¼ckgewiesen wird.</w:t>
      </w:r>
    </w:p>
    <w:p>
      <w:r>
        <w:t>2. Die Gerichtskosten von Fr. 500.-- werden der Beschwerdegegnerin auferlegt. Rechnung und Einzahlungsschein werden der Kostenpflichtigen nach Eintritt der Rechtskraft zugestellt.</w:t>
      </w:r>
    </w:p>
    <w:p>
      <w:r>
        <w:rPr>
          <w:b/>
        </w:rPr>
        <w:t>E. 4</w:t>
      </w:r>
    </w:p>
    <w:p>
      <w:r>
        <w:t>Zustellung gegen Empfangsschein an:</w:t>
      </w:r>
    </w:p>
    <w:p>
      <w:r>
        <w:t>- Rechtsanwalt Georg Engeli</w:t>
      </w:r>
    </w:p>
    <w:p>
      <w:r>
        <w:t>- Sozialversicherungsanstalt des Kantons ZÃ¼rich, IV-Stelle</w:t>
      </w:r>
    </w:p>
    <w:p>
      <w:r>
        <w:t>- Bundesamt fÃ¼r Sozialversicherungen</w:t>
      </w:r>
    </w:p>
    <w:p>
      <w:r>
        <w:t>sowie an:</w:t>
      </w:r>
    </w:p>
    <w:p>
      <w:r>
        <w:t>- Gerichtskasse (im Dispositiv nach Eintritt der Rechtskraft)</w:t>
      </w:r>
    </w:p>
    <w:p>
      <w:r>
        <w:rPr>
          <w:b/>
        </w:rPr>
        <w:t>E. 5</w:t>
      </w:r>
    </w:p>
    <w:p>
      <w:r>
        <w:t>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