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IV.2007.01520 vom 31. Juli 2009</w:t>
      </w:r>
    </w:p>
    <w:p>
      <w:r>
        <w:t>ZH Sozialversicherungsgericht, 2009-07-31, DE</w:t>
      </w:r>
    </w:p>
    <w:p>
      <w:r>
        <w:rPr>
          <w:b/>
        </w:rPr>
        <w:t xml:space="preserve">Quelle: </w:t>
      </w:r>
      <w:r>
        <w:t>https://mcp.opencaselaw.ch/entscheid/zh_sozialversicherungsgericht_IV.2007.01520</w:t>
      </w:r>
    </w:p>
    <w:p>
      <w:r>
        <w:t>FR: ZH_SOZIALVERSICHERUNGSGERICHT IV.2007.01520 du 31 juillet 2009</w:t>
      </w:r>
    </w:p>
    <w:p>
      <w:r>
        <w:t>IT: ZH_SOZIALVERSICHERUNGSGERICHT IV.2007.01520 del 31 luglio 2009</w:t>
      </w:r>
    </w:p>
    <w:p>
      <w:pPr>
        <w:pStyle w:val="Heading2"/>
      </w:pPr>
      <w:r>
        <w:t>Erwägungen</w:t>
      </w:r>
    </w:p>
    <w:p>
      <w:r>
        <w:rPr>
          <w:b/>
        </w:rPr>
        <w:t>E. 4</w:t>
      </w:r>
    </w:p>
    <w:p>
      <w:r>
        <w:t>Â Â Â Â Â  Die VerfÃ¼gung vom 8. November 2007, wonach die ursprÃ¼ngliche Rente aufgehoben wurde, ist demnach zu bestÃ¤tigen und die Beschwerde ist abzuweisen.</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ermessensweise auf Fr. 700.-- anzusetzen und entsprechend dem Ausgang des Verfahrens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Winterthur-ARAG Rechtsschutzversicherungs-Gesellschaft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