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IV.2007.01473 vom 6. Februar 2008</w:t>
      </w:r>
    </w:p>
    <w:p>
      <w:r>
        <w:t>ZH Sozialversicherungsgericht, 2008-02-06, DE</w:t>
      </w:r>
    </w:p>
    <w:p>
      <w:r>
        <w:rPr>
          <w:b/>
        </w:rPr>
        <w:t xml:space="preserve">Quelle: </w:t>
      </w:r>
      <w:r>
        <w:t>https://mcp.opencaselaw.ch/entscheid/zh_sozialversicherungsgericht_IV.2007.01473</w:t>
      </w:r>
    </w:p>
    <w:p>
      <w:r>
        <w:t>FR: ZH_SOZIALVERSICHERUNGSGERICHT IV.2007.01473 du 6 février 2008</w:t>
      </w:r>
    </w:p>
    <w:p>
      <w:r>
        <w:t>IT: ZH_SOZIALVERSICHERUNGSGERICHT IV.2007.01473 del 6 febbraio 2008</w:t>
      </w:r>
    </w:p>
    <w:p>
      <w:pPr>
        <w:pStyle w:val="Heading2"/>
      </w:pPr>
      <w:r>
        <w:t>Erwägungen</w:t>
      </w:r>
    </w:p>
    <w:p>
      <w:r>
        <w:rPr>
          <w:b/>
        </w:rPr>
        <w:t>E. 3</w:t>
      </w:r>
    </w:p>
    <w:p>
      <w:r>
        <w:t>3.1Â Â Â Â  Die Beschwerdegegnerin vertritt den Standpunkt, die fachÃ¤rztlichen AbklÃ¤rungen hÃ¤tten ergeben, dass der BeschwerdefÃ¼hrer seit MÃ¤rz 2005 in der bisherigen TÃ¤tigkeit als Hilfsmaurer erheblich eingeschrÃ¤nkt sei. Hingegen bestehe fÃ¼r kÃ¶rperlich leichte und wechselbelastende TÃ¤tigkeiten ohne lange dauernde Zwangshaltungen, ohne repetitives Heben und Tragen von Lasten Ã¼ber 8 kg und ohne 500 Meter Ã¼bersteigende Gehstrecken auf unebenem GelÃ¤nde eine volle ArbeitsfÃ¤higkeit. Die Differenz zwischen dem Einkommen vor Eintritt des Gesundheitsschadens (Valideneinkommen) in der HÃ¶he von Fr. 57'831.-- und dem Einkommen von Fr. 52'047.--, das in einer angepassten TÃ¤tigkeit realisiert werden kÃ¶nnte (Invalideneinkommen), betrage lediglich 10 %. Damit bestehe kein Anspruch auf eine berufliche Umschulung. DafÃ¼r brÃ¤uchte es einen invaliditÃ¤tsbedingten Minderverdienst von mindestens 20 %. Auch ein Rentenanspruch bestehe nicht. HierfÃ¼r bedÃ¼rfte es einer Erwerbseinbusse von mindestens 40 % (Urk. 2/1 S. 1 f., Urk. 2/2 S 1, Urk. 10).</w:t>
      </w:r>
    </w:p>
    <w:p>
      <w:r>
        <w:t>3.2Â Â Â Â  Der BeschwerdefÃ¼hrer macht geltend, gemÃ¤ss Ã¤rztlichen Zeugnissen sei er vollstÃ¤ndig arbeitsunfÃ¤hig. Die IV-Ã¤rztliche Untersuchung liege mehr als ein Jahr zurÃ¼ck. Es sei erneut eine Untersuchung anzuordnen, die den jetzigen gesundheitlichen Zustand berÃ¼cksichtige (Urk. 1). GemÃ¤ss den Feststellungen der Arbeitslosenversicherung sei er bereits seit 27. November 2003 nicht mehr vermittelbar und seit diesem Zeitpunkt SozialhilfeempfÃ¤nger (Urk. 6).</w:t>
      </w:r>
    </w:p>
    <w:p>
      <w:r>
        <w:rPr>
          <w:b/>
        </w:rPr>
        <w:t>E. 4</w:t>
      </w:r>
    </w:p>
    <w:p>
      <w:r>
        <w:t>4.1Â Â Â Â  Zur gesundheitlichen BeeintrÃ¤chtigung des BeschwerdefÃ¼hrers Ã¤ussert sich das polydisziplinÃ¤re (orthopÃ¤disch-chirurgische, rheumatologische, psychiatrische) E.___-Gutachten vom 23. Januar 2007 (Urk. 11/36). Die mit der Begutachtung befassten Haupt- und Konsiliargutachter kamen nach Einsicht in die Vorakten (S. 1 ff. Ziff. 1), gestÃ¼tzt auf eine ausfÃ¼hrliche Anamnese (S. 3 ff. Ziff. 2) sowie aufgrund detaillierter Befunderhebungen (S. 7 ff. Ziff. 3) zu objektiv nachvollziehbaren Diagnosen (S. 17 Ziff. 4) und Ã¼berzeugenden Schlussfolgerungen (S. 17 ff. Ziff. 5 ff.).</w:t>
      </w:r>
    </w:p>
    <w:p>
      <w:r>
        <w:t>GemÃ¤ss diesen wirken sich das lumbospondylogene Schmerzsyndrom rechts mit/bei Osteochondrosen, Spondylarthrose und beginnender Segmentdegeneration sowie die allgemeine HyperlaxitÃ¤t mit/bei Status nach rezidivierenden Distorsionen beider oberen Sprunggelenke (OSG) auf die ArbeitsfÃ¤higkeit aus. Ohne Auswirkungen sind hingegen die rezidivierenden Gichtarthridien der unteren ExtremitÃ¤ten, das metabolische Syndrom (Adipositas, arterielle Hypertonie, DyslipidÃ¤mie), ein Alkoholmissbrauch und die Narbenkeloide der Thoraxregion und des rechten Arms nach Verbrennungen 2. und 3. Grades aus dem Jahr 1995 (Urk. 11/36 S. 17 Ziff. 4).</w:t>
      </w:r>
    </w:p>
    <w:p>
      <w:r>
        <w:t>Â Â Â Â Â Â Â Â  Die Gutachter stellten fest, die degenerativ bedingte RÃ¼ckenproblematik fÃ¼hre zu tieflumbalen, belastungsabhÃ¤ngigen und ins rechte Bein ausstrahlenden Schmerzen. Die HyperlaxitÃ¤t der Sprunggelenke erklÃ¤re die frÃ¼heren Distorsionen. In der angestammten TÃ¤tigkeit bestehe keine ArbeitsfÃ¤higkeit mehr. UneingeschrÃ¤nkt zumutbar seien dem BeschwerdefÃ¼hrer hingegen Verrichtungen ohne langdauernde Haltungsstereotypien des Rumpfes und ohne repetitives Heben und Tragen von Lasten Ã¼ber 8 kg respektive von Einzellasten Ã¼ber 20 kg. Zu unterlassen sei ferner ein kÃ¶rperstammfernes BehÃ¤ndigen von Gewichten Ã¼ber 10 kg. UngÃ¼nstig sei ferner das Begehen von unebenem GelÃ¤nde und die mehrzeitige Erbringung von Gehstrecken mit einer Distanz von mehr als 500 Metern ohne das Tragen von Stabilschuhen. Der Gefahr weiterer Distorsionen an den OSG kÃ¶nne durch das Tragen dieser Schuhe ebenfalls entgegengewirkt werden.</w:t>
      </w:r>
    </w:p>
    <w:p>
      <w:r>
        <w:t>Â Â Â Â Â Â Â Â  Die Keloidbildung im Narbenbereich nach Verbrennung im Thoraxbereich vorne und am rechten Arm sei nicht arbeitsrelevant, denn es resultiere daraus keine FunktionseinschrÃ¤nkung. Dasselbe gelte fÃ¼r das metabolische Syndrom (Adipositas, arterielle Hypertonie, DyslipidÃ¤mie). Somatische Folgeerscheinungen des jahrelangen Alkoholmissbrauchs seien nicht festzustellen gewesen. Internistisch sei die ArbeitsfÃ¤higkeit des BeschwerdefÃ¼hrers nicht eingeschrÃ¤nkt. Auch die psychiatrische Exploration habe keine Befunde ergeben, welche eine EinschrÃ¤nkung der erwerblichen LeistungsfÃ¤higkeit bewirkten. Insgesamt bestehe fÃ¼r die frÃ¼here TÃ¤tigkeit eine anhaltende und gÃ¤nzliche ArbeitsunfÃ¤higkeit. Eine TÃ¤tigkeit, bei der die beschriebenen EinschrÃ¤nkungen berÃ¼cksichtigt seien, kÃ¶nne hingegen vollumfÃ¤nglich ausgeÃ¼bt werden (Urk. 11/36 S. 18 f. Ziff. 5).</w:t>
      </w:r>
    </w:p>
    <w:p>
      <w:r>
        <w:t>4.2Â Â Â Â  Das Gutachten vermag nach dem Gesagten in jeder Hinsicht zu Ã¼berzeugen. Es genÃ¼gt den in vorstehender ErwÃ¤gung 2.2 erwÃ¤hnten beweisrechtlichen GrundsÃ¤tzen vollumfÃ¤nglich. Die vom BeschwerdefÃ¼hrer erhobenen EinwÃ¤nde vermÃ¶gen die Aussagekraft des Gutachtens nicht zu erschÃ¼ttern. Der BeschwerdefÃ¼hrer macht zu Recht geltend, dass eine volle ArbeitsunfÃ¤higkeit bestehe. Der Begriff der ArbeitsunfÃ¤higkeit, auf den sich auch die vom BeschwerdefÃ¼hrer in der Beschwerde erwÃ¤hnten ArbeitsunfÃ¤higkeitszeugnisse beziehen (vgl. Urk. 1), betreffen indessen das LeistungsvermÃ¶gen in der bisherigen TÃ¤tigkeit als Maurer und Schaler. Der vorliegend massgebende Begriff der InvaliditÃ¤t hat aber auch zu berÃ¼cksichtigen, was die versicherte Person im gesamten ihr aus medizinisch-theoretischer Sicht offen stehenden TÃ¤tigkeits- respektive Erwerbsbereich zu leisten vermÃ¶chte. In dieser Hinsicht ergab die Ã¤rztliche AbklÃ¤rung, dass der BeschwerdefÃ¼hrer nach wie vor eine angepasste, das heisst kÃ¶rperlich leichte TÃ¤tigkeit auszuÃ¼ben vermÃ¶chte. Dieses zumutbare Leistungsprofil ist der Einkommensbemessung zu Grunde zu legen. Dass sich am Zumutbarkeitsprofil seit der Begutachtung etwas geÃ¤ndert hÃ¤tte, ist nicht ersichtlich. Neue AbklÃ¤rungen, wie sie der BeschwerdefÃ¼hrer sinngemÃ¤ss beantragt, sind daher entbehrlich.</w:t>
      </w:r>
    </w:p>
    <w:p>
      <w:r>
        <w:rPr>
          <w:b/>
        </w:rPr>
        <w:t>E. 5</w:t>
      </w:r>
    </w:p>
    <w:p>
      <w:r>
        <w:t>5.1Â Â Â Â  FÃ¼r die Bemessung des Valideneinkommens griff die Beschwerdegegnerin auf die Angaben der Schweizerischen Lohnstrukturerhebung (LSE) 2004, Neuenburg 2006, S. 53, Tabelle A1, Niveau 4, zurÃ¼ck (vgl. Urk. 11/39 S. 5), denn, wie die Beschwerdegegnerin zutreffend ausfÃ¼hrte, die etlichen und zum Teil nur sehr kurzen und unterschiedlich entlÃ¶hnten ArbeitseinsÃ¤tze des BeschwerdefÃ¼hrers in den letzten Jahren lassen keine zuverlÃ¤ssige EinkommensschÃ¤tzung zu. Nicht zu beanstanden ist, dass die Beschwerdegegnerin auf das Total aller Wirtschaftszweige (Ziff. 1-93) und nicht ausschliesslich auf den produktiven Sektor (Ziff. 10-45) abstellte. Zwar arbeitete der BeschwerdefÃ¼hrer in der Vergangenheit schwergewichtig im produktiven Sektor, indessen dehnte er 2001 seine ErwerbstÃ¤tigkeit in den Dienstleistungssektor aus.</w:t>
      </w:r>
    </w:p>
    <w:p>
      <w:r>
        <w:t>Abweichend von der Berechnung der Beschwerdegegnerin (vgl. Urk. 11/39 S. 5), ergibt sich das folgende Valideneinkommen: GemÃ¤ss LSE 2004 betrÃ¤gt der Zentralwert der LÃ¶hne aller Wirtschaftszweige fÃ¼r MÃ¤nner auf dem tiefsten Anforderungsniveau Fr. 4'588.--. Dieser Lohn basiert auf einer Wochenarbeitszeit von 40 Stunden. Im Durchschnitt betrug diese im Jahr 2007 effektiv 41,7 Stunden (Die Volkswirtschaft, 12-2007, S. 98 T. B 9.2). Entsprechend betrÃ¤gt der durchschnittliche Monatslohn Fr. 4Â783.-- (Fr. 4'588.-- : 40 x 41,7). Des Weiteren ist das Einkommen der Lohnentwicklung bis zum Jahr 2007 anzupassen. 2005 betrug die Nominallohnentwicklung 1 % und 2006 1,2 % (Die Volkswirtschaft, 12-2007, S. 99 T. B 10.2). 2005 wuchs der monatliche Lohn somit um Fr. 48.-- auf Fr. 4'831.-- (Fr. 4Â783.-- x 0,01) und 2005 um Fr. 58.-- auf Fr. 4'889.-- (Fr. 4'831.-- x 0,012). Das Valideneinkommen belÃ¤uft sich demgemÃ¤ss auf Fr. 58'668.--.</w:t>
      </w:r>
    </w:p>
    <w:p>
      <w:r>
        <w:rPr>
          <w:b/>
        </w:rPr>
        <w:t>E. 5.2</w:t>
      </w:r>
    </w:p>
    <w:p>
      <w:r>
        <w:t>Nicht zu beanstanden ist die Bemessungsweise des Invalideneinkommens, das heisst, dass der BeschwerdefÃ¼hrer trotz der gesundheitlichen EinschrÃ¤nkung an sich dasselbe Einkommen zu erzielen vermÃ¶chte, abzÃ¼glich eines behinderungsbedingten Einschlags von 10 % (Urk. 11/39 S. 5). Das Invalideneinkommen betrÃ¤gt somit Fr. 52'801.--.</w:t>
      </w:r>
    </w:p>
    <w:p>
      <w:r>
        <w:rPr>
          <w:b/>
        </w:rPr>
        <w:t>E. 5.3</w:t>
      </w:r>
    </w:p>
    <w:p>
      <w:r>
        <w:t>Aufgrund der Einkommensdifferenz zwischen Validen- und Invalideneinkommen von 10 % besteht kein Anspruch auf eine Invalidenrente. Die angefochtene VerfÃ¼gung vom 31. Oktober 2007, mit der die Beschwerdegegnerin den Anspruch auf eine Rente verneinte, ist somit korrekt.</w:t>
      </w:r>
    </w:p>
    <w:p>
      <w:r>
        <w:t>6.Â Â Â Â Â Â</w:t>
      </w:r>
    </w:p>
    <w:p>
      <w:r>
        <w:t>6.1Â Â Â Â  Angesichts der invaliditÃ¤tsbedingten Einkommenseinbusse von 10 % ist, wie die Beschwerdegegnerin in der VerfÃ¼gung vom 1. November 2007 betreffend berufliche Massnahmen zutreffend festgehalten hat (Urk. 2/2 S. 1), die praxisgemÃ¤sse Erheblichkeitsgrenze von rund 20 % fÃ¼r den Anspruch auf GewÃ¤hrung einer Umschulungsmassnahme (vgl. BGE 130 V 488 Erw. 4.2, 124 V 110 f. Erw. 2a und b mit Hinweisen auf u.a. AHI 1997 S. 80 Erw. 1b; ZAK 1984 S. 91 oben, 1966 S. 439 Erw. 3) nicht erreicht. Die Verneinung des Anspruchs auf eine Umschulungsmassnahme ist mithin nicht zu beanstanden.</w:t>
      </w:r>
    </w:p>
    <w:p>
      <w:r>
        <w:t>6.2Â Â Â Â  Zu Recht verneint hat die Beschwerdegegnerin auch den Anspruch auf Arbeitsvermittlung. Entgegen den Feststellungen im Protokoll betreffend das AbschlussgesprÃ¤ch im Rahmen der Arbeitsvermittlung durch die Arbeitslosenversicherung (vgl. Urk. 7), kann das Scheitern der VermittlungsbemÃ¼hungen, soweit sie eine angepasste TÃ¤tigkeit betrifft, nicht den gesundheitlichen BeeintrÃ¤chtigungen des BeschwerdefÃ¼hrers zugeschrieben werden. Diese wirken sich in einer angepassten TÃ¤tigkeit hÃ¶chstens geringgradig zusÃ¤tzlich behindernd aus. Eine solche TÃ¤tigkeit vermÃ¶chte der BeschwerdefÃ¼hrer grundsÃ¤tzlich vollzeitlich auszufÃ¼hren.</w:t>
      </w:r>
    </w:p>
    <w:p>
      <w:r>
        <w:t>Â Â Â Â Â Â Â Â  Des weiteren gilt es zu beachten, dass im Bereich der Invalidenversicherung nicht die VerhÃ¤ltnisse auf dem tatsÃ¤chlichen Arbeitsmarkt massgebend sind, sondern diejenigen auf einem sogenannt ausgeglichenen Arbeitsmarkt (vgl. AHI 1998 S. 290 f. Erw. 3b; Urteile des EidgenÃ¶ssischen Versicherungsgerichtes in Sachen S. vom 29. MÃ¤rz 2005, I 273/04, in Sachen V. vom 5. Mai 2004, I 591/02, in Sachen K. vom 13. MÃ¤rz 2000, I 285/99, und in Sachen K. vom 17. April 2000, U 176/98). Insgesamt sind die Voraussetzungen gemÃ¤ss vorstehender ErwÃ¤gung 2.3 nicht erfÃ¼llt.</w:t>
      </w:r>
    </w:p>
    <w:p>
      <w:r>
        <w:t>6.3Â Â Â Â  Formell nicht befunden hat die Beschwerdegegnerin Ã¼ber den Antrag des BeschwerdefÃ¼hrers auf Berufsberatung (vgl. Urk. 11/13 S. 6 Ziff. 7.8). TatsÃ¤chliche Auswirkungen hat dieses VersÃ¤umnis indessen keine. Es ist nicht ersichtlich, dass bei der Wahl der kÃ¼nftigen TÃ¤tigkeit gesundheitlich bedingte Schwierigkeiten bestehen. FÃ¼r den BeschwerdefÃ¼hrer kommen, wie bereits frÃ¼her, weiterhin schwergewichtig HilfstÃ¤tigkeiten respektive ungelernte TÃ¤tigkeiten in Frage. Die Voraussetzungen gemÃ¤ss vorstehender ErwÃ¤gung 2.4 sind nicht gegeben.</w:t>
      </w:r>
    </w:p>
    <w:p>
      <w:r>
        <w:t>Â Â Â Â Â Â Â Â  Nach dem Gesagten ergibt sich, dass die angefochtenen VerfÃ¼gungen vom 31. Oktober und 1. November 2007 nicht zu beanstanden sind. Die dagegen erhobene Beschwerde ist demgemÃ¤ss abzuweisen.</w:t>
      </w:r>
    </w:p>
    <w:p>
      <w:r>
        <w:t>Das Gericht erkennt:</w:t>
      </w:r>
    </w:p>
    <w:p>
      <w:r>
        <w:t>1.Â Â Â Â Â Â Â Â  Die Beschwerde wird abgewiesen.</w:t>
      </w:r>
    </w:p>
    <w:p>
      <w:r>
        <w:t>2.Â Â Â Â Â Â Â Â  Die Gerichtskosten von Fr. 500.-- werden dem BeschwerdefÃ¼hrer auferlegt. Rechnung und Einzahlungsschein werden dem Kostenpflichtigen nach Eintritt der Rechtskraft zugestellt.</w:t>
      </w:r>
    </w:p>
    <w:p>
      <w:r>
        <w:t>3.Â Â Â Â Â Â Â Â  Zustellung gegen Empfangsschein an:</w:t>
      </w:r>
    </w:p>
    <w:p>
      <w:r>
        <w:t>- B.___</w:t>
      </w:r>
    </w:p>
    <w:p>
      <w:r>
        <w:t>- Sozialversicherungsanstalt des Kantons ZÃ¼rich, IV-Stelle</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