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IV.2007.01332 vom 19. Februar 2009</w:t>
      </w:r>
    </w:p>
    <w:p>
      <w:r>
        <w:t>ZH Sozialversicherungsgericht, 2009-02-19, DE</w:t>
      </w:r>
    </w:p>
    <w:p>
      <w:r>
        <w:rPr>
          <w:b/>
        </w:rPr>
        <w:t xml:space="preserve">Quelle: </w:t>
      </w:r>
      <w:r>
        <w:t>https://mcp.opencaselaw.ch/entscheid/zh_sozialversicherungsgericht_IV.2007.01332</w:t>
      </w:r>
    </w:p>
    <w:p>
      <w:r>
        <w:t>FR: ZH_SOZIALVERSICHERUNGSGERICHT IV.2007.01332 du 19 février 2009</w:t>
      </w:r>
    </w:p>
    <w:p>
      <w:r>
        <w:t>IT: ZH_SOZIALVERSICHERUNGSGERICHT IV.2007.01332 del 19 febbraio 2009</w:t>
      </w:r>
    </w:p>
    <w:p>
      <w:pPr>
        <w:pStyle w:val="Heading2"/>
      </w:pPr>
      <w:r>
        <w:t>Erwägungen</w:t>
      </w:r>
    </w:p>
    <w:p>
      <w:r>
        <w:rPr>
          <w:b/>
        </w:rPr>
        <w:t>E. 1</w:t>
      </w:r>
    </w:p>
    <w:p>
      <w:r>
        <w:t>1.1Â Â Â Â  Bei einer VerfÃ¼gung Ã¼ber Versicherungsleistungen bildet grundsÃ¤tzlich einzig die Leistung Gegenstand des Dispositivs. Die Beantwortung der Frage, welcher Gesundheitsschaden zur InvaliditÃ¤t gefÃ¼hrt hat, dient demgegenÃ¼ber in der Regel lediglich der BegrÃ¼ndung der LeistungsverfÃ¼gung. Sie kÃ¶nnte nur dann zum Dispositiv gehÃ¶ren, wenn und insoweit sie Gegenstand einer FeststellungsverfÃ¼gung ist. Da in jedem Fall nur das Dispositiv anfechtbar ist, muss bei Anfechtung der Motive einer LeistungsverfÃ¼gung im Einzelfall geprÃ¼ft werden, ob damit nicht sinngemÃ¤ss die AbÃ¤nderung des Dispositivs beantragt wird. Sodann ist zu untersuchen, ob die BeschwerdefÃ¼hrerin allenfalls ein schutzwÃ¼rdiges Interesse an der sofortigen Feststellung hinsichtlich des angefochtenen VerfÃ¼gungsbestandteils hat (BGE 115 V 418 mit Hinweis).</w:t>
      </w:r>
    </w:p>
    <w:p>
      <w:r>
        <w:t>1.2Â Â Â Â  Der Erlass einer FeststellungsverfÃ¼gung setzt gemÃ¤ss Art. 49 Abs. 2 des Bundesgesetzes Ã¼ber den Allgemeinen Teil des Sozialversicherungsrechts (ATSG) - analog zu Art. 25 Abs. 2 in Verbindung mit Art. 5 Abs. 1 lit. b des Bundesgesetzes Ã¼ber das Verwaltungsverfahren (VwVG) - ein schÃ¼tzenswertes Interesse voraus, worunter rechtsprechungsgemÃ¤ss ein rechtliches oder tatsÃ¤chliches und aktuelles Interesse an der sofortigen Feststellung des Bestehens oder Nichtbestehens eines RechtsverhÃ¤ltnisses zu verstehen ist, dem keine erheblichen Ã¶ffentlichen oder privaten Interessen entgegenstehen, und welches nicht durch eine rechtsgestaltende VerfÃ¼gung gewahrt werden kann (BGE 129 V 290 Erw. 2.1, 126 II 303 Erw. 2c, 121 V 317 Erw. 4a). Nach der zu Art. 25 Abs. 2 VwVG ergangenen, auch auf Art. 49 Abs. 2 ATSG anwendbaren Rechtsprechung des EidgenÃ¶ssischen Versicherungsgerichts gilt das Erfordernis des schÃ¼tzenswerten Interesses auch fÃ¼r den Erlass von FeststellungsverfÃ¼gungen, welche ein HoheitstrÃ¤ger nicht auf Ersuchen, sondern von Amtes wegen (vgl. Art. 25 Abs. 1 VwVG) erlÃ¤sst (BGE 130 V 391 Erw. 2.4).</w:t>
      </w:r>
    </w:p>
    <w:p>
      <w:r>
        <w:t>1.3Â Â Â Â  Nach der Rechtsprechung ist ein Entscheid der IV-Stelle fÃ¼r die Einrichtungen der beruflichen Vorsorge verbindlich, sofern die Vorsorgeeinrichtung durch ErÃ¶ffnung der entsprechenden VerfÃ¼gung in das invalidenversicherungsrechtliche Verfahren einbezogen wurde und soweit die konkrete Fragestellung fÃ¼r die Beurteilung des Rentenanspruchs gegenÃ¼ber der Invalidenversicherung entscheidend war. Diese Bindungswirkung findet ihre positivrechtliche Grundlage in den Art. 23, 24 Abs. 1 und 26 Abs. 1 des Bundesgesetzes Ã¼ber die berufliche Alters-, Hinterlassenen- und Invalidenvorsorge (BVG), welche an die Regelung des Bundesgesetzes Ã¼ber die Invalidenversicherung (IVG) anknÃ¼pfen oder diese Ã¼bernehmen. Die Orientierung an der Invalidenversicherung bezieht sich insbesondere auf die sachbezÃ¼glichen Voraussetzungen des Rentenanspruchs, die RentenhÃ¶he und den Rentenbeginn. Mit der Bejahung der Bindungswirkung wird einerseits eine gewisse (nicht uneingeschrÃ¤nkte) materiellrechtliche Koordinierung zwischen erster und zweiter SÃ¤ule angestrebt. Andererseits sollen die Organe der beruflichen Vorsorge von eigenen aufwÃ¤ndigen AbklÃ¤rungen freigestellt werden (BGE 133 V 67 Erw. 4.3.2).</w:t>
      </w:r>
    </w:p>
    <w:p>
      <w:r>
        <w:rPr>
          <w:b/>
        </w:rPr>
        <w:t>E. 2</w:t>
      </w:r>
    </w:p>
    <w:p>
      <w:r>
        <w:t>2.1Â Â Â Â  FÃ¼r die Frage, ob eine versicherte Person Anspruch auf eine Rente der EidgenÃ¶ssischen Invalidenversicherung hat, ist nicht massgebend, welches Ereignis zur InvaliditÃ¤t gefÃ¼hrt hat, sondern welche Auswirkungen ein Gesundheitsschaden ab wann und in welchem Ausmass auf die ArbeitsfÃ¤higkeit hat. Ob ein oder mehrere UnfÃ¤lle - und wenn ja, welche -, chronische Krankheiten oder eine gesundheitliche PrÃ¤disposition im vorliegenden Fall schliesslich zu einer (zusÃ¤tzlichen) EinschrÃ¤nkung in der ArbeitsfÃ¤higkeit gefÃ¼hrt haben, ist fÃ¼r die Invalidenversicherung nicht von Belang. Von Bedeutung ist fÃ¼r sie in diesem Zusammenhang nur, in welchem Zeitpunkt ein die ArbeitsfÃ¤higkeit beeinflussender Gesundheitsschaden bzw. eine Verschlechterung desselben eingetreten ist, welche den Anspruch auf eine Rente beeinflussen kÃ¶nnte.</w:t>
      </w:r>
    </w:p>
    <w:p>
      <w:r>
        <w:t>2.2Â Â Â Â  Mit der Festlegung des Zeitpunkts der die ArbeitsfÃ¤higkeit beeinflussenden Verschlechterung des Gesundheitszustandes ist noch nichts darÃ¼ber ausgesagt, welcher Gesundheitsschaden eine zusÃ¤tzliche EinschrÃ¤nkung der ArbeitsfÃ¤higkeit bewirkt hat. Da dies jedoch fÃ¼r die Invalidenversicherung nicht von Belang ist, kann sie auch nicht verpflichtet werden, solche AbklÃ¤rungen zu treffen. Insofern besteht gegenÃ¼ber der beruflichen Vorsorge auch keine Bindungswirkung. Aus diesem Grund ist der BeschwerdefÃ¼hrerin ein Rechtsschutzinteresse an der beantragten Feststellung abzusprechen.</w:t>
      </w:r>
    </w:p>
    <w:p>
      <w:r>
        <w:t>3.Â Â Â Â Â Â  Mit den erstmaligen RentenverfÃ¼gungen vom 26. August 2005 wurde der Rentenbeginn auf den 1. Dezember 1998 festgelegt, womit das Wartejahr im Dezember 1997 und damit wÃ¤hrend des ArbeitsverhÃ¤ltnisses der A.___ mit der B.___ erÃ¶ffnet worden war. Damals hatte die BeschwerdefÃ¼hrerin, die durch die VerfÃ¼gungen berÃ¼hrt war, Einsprache erhoben, diese dann aber nach Einsicht in die Akten wieder zurÃ¼ckgezogen. Darauf kann vorliegend nicht mehr zurÃ¼ckgekommen werden.</w:t>
      </w:r>
    </w:p>
    <w:p>
      <w:r>
        <w:t>4.Â Â Â Â Â Â Â Â  GestÃ¼tzt auf diese ErwÃ¤gungen ist auf die Beschwerde nicht einzutreten und sind die Verfahrenskosten in HÃ¶he von Fr. 500.-- der BeschwerdefÃ¼hrerin aufzuerlegen. A.___ (vertreten durch Rechtsanwalt Michael Ausfeld, ZÃ¼rich) ist durch Zustellung eines Entscheidexemplars Ã¼ber den Ausgang des vorliegenden Verfahrens in Kenntnis zu setzen.</w:t>
      </w:r>
    </w:p>
    <w:p>
      <w:r>
        <w:t>Das Gericht beschliesst:</w:t>
      </w:r>
    </w:p>
    <w:p>
      <w:r>
        <w:t>1.Â Â Â Â Â Â Â Â  Auf die Beschwerde wird nicht eingetreten.</w:t>
      </w:r>
    </w:p>
    <w:p>
      <w:r>
        <w:t>2.Â Â Â Â Â Â Â Â  Die Gerichtskosten von Fr. 500.-- werden der BeschwerdefÃ¼hrerin auferlegt. Rechnung und Einzahlungsschein werden der Kostenpflichtigen nach Eintritt der Rechtskraft zugestellt.</w:t>
      </w:r>
    </w:p>
    <w:p>
      <w:r>
        <w:t>3.Â Â Â Â Â Â Â Â Â Â  Zustellung gegen Empfangsschein an:</w:t>
      </w:r>
    </w:p>
    <w:p>
      <w:r>
        <w:t>- Rechtsanwalt Prof. Dr. Moritz W. Kuhn</w:t>
      </w:r>
    </w:p>
    <w:p>
      <w:r>
        <w:t>- Sozialversicherungsanstalt des Kantons ZÃ¼rich, IV-Stelle</w:t>
      </w:r>
    </w:p>
    <w:p>
      <w:r>
        <w:t>- Rechtsanwalt Michael Ausfeld</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