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IV.2007.01242 vom 16. September 2009</w:t>
      </w:r>
    </w:p>
    <w:p>
      <w:r>
        <w:t>ZH Sozialversicherungsgericht, 2009-09-16, DE</w:t>
      </w:r>
    </w:p>
    <w:p>
      <w:r>
        <w:rPr>
          <w:b/>
        </w:rPr>
        <w:t xml:space="preserve">Quelle: </w:t>
      </w:r>
      <w:r>
        <w:t>https://mcp.opencaselaw.ch/entscheid/zh_sozialversicherungsgericht_IV.2007.01242</w:t>
      </w:r>
    </w:p>
    <w:p>
      <w:r>
        <w:t>FR: ZH_SOZIALVERSICHERUNGSGERICHT IV.2007.01242 du 16 septembre 2009</w:t>
      </w:r>
    </w:p>
    <w:p>
      <w:r>
        <w:t>IT: ZH_SOZIALVERSICHERUNGSGERICHT IV.2007.01242 del 16 settembre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29. August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1.4Â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1.5Â Â Â Â  Aus Inhalt und Funktion des Akteneinsichtsrechts als Teil des Anspruchs auf rechtliches GehÃ¶r folgt, dass grundsÃ¤tzlich sÃ¤mtliche beweiserheblichen Akten den Beteiligten gezeigt werden mÃ¼ssen, sofern in der sie unmittelbar betreffenden VerfÃ¼gung darauf abgestellt wird. Denn es gehÃ¶rt zum Kerngehalt des rechtlichen GehÃ¶rs, dass die VerfÃ¼gungsadressaten vor Erlass eines fÃ¼r sie nachteiligen Verwaltungsaktes zum Beweisergebnis Stellung nehmen kÃ¶nnen. Das Akteneinsichtsrecht ist somit eng mit dem Ãusserungsrecht verbunden, gleichsam dessen Vorbedingung. Die Betroffenen kÃ¶nnen sich nur dann wirksam zur Sache Ã¤ussern und geeignete Beweise fÃ¼hren oder bezeichnen, wenn ihnen die MÃ¶glichkeit eingerÃ¤umt wird, die Unterlagen einzusehen, auf welche sich die BehÃ¶rde bei ihrer VerfÃ¼gung gestÃ¼tzt hat. Das rechtliche GehÃ¶r dient in diesem Sinne einerseits der SachaufklÃ¤rung und stellt anderseits ein persÃ¶nlichkeitsbezogenes Mitwirkungsrecht im Verfahren dar. Daraus ergibt sich, dass der Versicherer, welcher neue Akten beizieht, auf die er sich in seiner VerfÃ¼gung zu stÃ¼tzen gedenkt, grundsÃ¤tzliche verpflichtet ist, die Beteiligten Ã¼ber den Aktenbeizug zu informieren. Das Akteneinsichtsrecht bezieht sich auf sÃ¤mtliche verfahrensbezogene Akten, die geeignet sind, Grundlage des Entscheids zu bilden. Die Einsicht in die Akten, die fÃ¼r ein bestimmtes Verfahren erstellt oder beigezogen wurden, kann nicht mit der BegrÃ¼ndung verweigert werden, die fraglichen Akten seien fÃ¼r den Verfahrensausgang belanglos. Es muss vielmehr den Betroffenen selber Ã¼berlassen sein, die Relevanz der Akten zu beurteilen (BGE 132 V 387 E. 3 S. 388 mit Hinweisen).</w:t>
      </w:r>
    </w:p>
    <w:p>
      <w:r>
        <w:t>Â Â Â Â 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Von der RÃ¼ckweisung der Sache an den VersicherungstrÃ¤ger zur GewÃ¤hrung des rechtlichen GehÃ¶rs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116 V 186 Erw. 3c und d; Urteil des Eidg. Versicherungsgerichts vom 19. April 2000 i.S. F., I 30/00, Erw. 3).</w:t>
      </w:r>
    </w:p>
    <w:p>
      <w:r>
        <w:t>2.Â Â Â Â Â Â  Beschwerdeweise verlangt der BeschwerdefÃ¼hrer zwar die Aufhebung der angefochtenen VerfÃ¼gung und die Zusprechung einer Rente rÃ¼ckwirkend ab Juli 2006 (Urk. 1 S. 1). Indessen wird ihm mit der angefochtenen VerfÃ¼gung bereits eine ganze Rente ab Juli 2006 zugesprochen (Urk. 2) und macht der BeschwerdefÃ¼hrer in der BegrÃ¼ndung auch nicht geltend, dass er schon ab einem frÃ¼heren Zeitpunkt Anspruch auf eine Rente erhebe. Es kann daher davon ausgegangen werden, dass der Beginn des Anspruchs auf eine ganze Rente der Invalidenversicherung unstrittig ist. Strittig ist die Herabsetzung des Rentenanspruchs per Dezember 2006, wobei nicht in Frage steht, dass per Ende August 2006 die Heilbehandlungen und Eingliederungsmassnahmen nach dem Unfall vom 3. Juli 2005 abgeschlossen wurden, sondern vielmehr, ob der stabile Residualzustand ab diesem Zeitpunkt den InvaliditÃ¤tsgrad in einer fÃ¼r den Anspruch erheblichen Weise Ã¤ndert. Der BeschwerdefÃ¼hrer bestreitet sinngemÃ¤ss, dass damit eine Verbesserung der ErwerbsfÃ¤higkeit im Sinne von ErwÃ¤gung 1.4 eingetreten sei, welche ohne wesentliche Unterbrechung drei Monate angedauert hat und noch andauert.</w:t>
      </w:r>
    </w:p>
    <w:p>
      <w:r>
        <w:t>2.1Â Â Â Â  Nach Ansicht des BeschwerdefÃ¼hrers sind seine noch anhaltenden gesundheitlichen EinschrÃ¤nkungen und deren Auswirkungen auf die Arbeits- und ErwerbsfÃ¤higkeit ungenÃ¼gend abgeklÃ¤rt (Urk. 1 S. 3 f.). Hinsichtlich des medizinischen Sachverhalts lÃ¤gen sich widersprechende fachÃ¤rztliche Beurteilungen vor. So werde im Gutachten der Z.___ eine uneingeschrÃ¤nkte ArbeitsfÃ¤higkeit in leichten, einarmig ausfÃ¼hrbaren TÃ¤tigkeiten festgehalten, wÃ¤hrend Dr. A.___ aufgrund der funktionellen Einarmigkeit jegliche ArbeitsfÃ¤higkeit im Bereich von Hilfsarbeiten ausschliesse (Urk. 1 S. 3).</w:t>
      </w:r>
    </w:p>
    <w:p>
      <w:r>
        <w:t>2.2Â Â Â Â  TatsÃ¤chlich besteht unter den Experten einerseits Einigkeit darÃ¼ber, dass der BeschwerdefÃ¼hrer auch nach dem Abheilen der Verletzungen aus dem Unfall vom 3. Juli 2005 kaum mehr Arbeiten mit der rechten Hand ausfÃ¼hren kann und demzufolge in seiner angestammten TÃ¤tigkeit als Bauarbeiter vollstÃ¤ndig arbeitsunfÃ¤hig ist und bleibt (Urk. 11/21/2; Urk. 21/23). Andererseits geht auch Dr. A.___ nicht davon aus, dass zusÃ¤tzlich zur nicht mehr funktionellen rechten Hand noch weitere kÃ¶rperliche Funktionen eingeschrÃ¤nkt seien. Es besteht somit Einigkeit unter den Experten, dass eine funktionelle Einarmigkeit vorliegt (vgl. auch die WÃ¼rdigung des medizinischen Sachverhalts durch den RAD, Urk. 11/44/2), wobei die rechte Hand nach den Feststellungen wÃ¤hrend der stationÃ¤ren AbklÃ¤rung in der Z.___ noch beschrÃ¤nkt als Hilfshand einsetzbar ist. Dass ein mit einer vollstÃ¤ndigen LÃ¤hmung oder einem Status nach Amputation vergleichbarer Zustand bestehe, welcher jeglichen Einsatz der rechten Hand verunmÃ¶gliche, behauptet auch Dr. A.___ nicht.</w:t>
      </w:r>
    </w:p>
    <w:p>
      <w:r>
        <w:t>Â Â Â Â Â Â Â Â  Weitere medizinische AbklÃ¤rungen sind unter diesen UmstÃ¤nden nicht erforderlich. Anders als in dem Fall, welcher dem vom BeschwerdefÃ¼hrer zur BegrÃ¼ndung seiner Forderung nach Einholung eines Handgutachtens angerufenen Entscheid des EidgenÃ¶ssischen Versicherungsgerichts vom 26. September 2006 (U 330/06) zugrunde lag, sind hier Art und Ausmass der von den medizinischen Experten zu beurteilenden funktionellen EinschrÃ¤nkungen unbestritten. Soweit Dr. A.___ bestreitet, dass der heutige Arbeitsmarkt noch einhÃ¤ndig ausfÃ¼hrbare ErwerbstÃ¤tigkeiten anbietet (Urk. 21/23), geht es um einen arbeitsmarktlichen Sachverhalt, dessen Beurteilung nicht in die Fachkompetenz der Ãrzte fÃ¤llt (vgl. Erw. 1.3).</w:t>
      </w:r>
    </w:p>
    <w:p>
      <w:r>
        <w:t>2.3Â Â Â Â  Was die von Dr. A.___ aufgestellte und vom BeschwerdefÃ¼hrer mit Hinweis auf den Entscheid UV 2002/14 des Versicherungsgerichts des Kantons St. Gallen vom 22. Januar 2003 wiederholte Behauptung anbelangt, auf dem Arbeitsmarkt seien grundsÃ¤tzlich keine spezifischen ArbeitsplÃ¤tze fÃ¼r einarmige Personen vorhanden (Urk. 1 S. 4), kann auf die hÃ¶chstrichterliche Rechtsprechung verwiesen werden, gemÃ¤ss der das trotz der gesundheitlichen BeeintrÃ¤chtigung zumutbarerweise erzielbare Einkommen bezogen auf einen ausgeglichenen Arbeitsmarkt zu ermitteln ist. Ein solcher Arbeitsmarkt ist gekennzeichnet durch ein gewisses Gleichgewicht zwischen Angebot und Nachfrage nach ArbeitskrÃ¤ften und weist einen FÃ¤cher verschiedenster TÃ¤tigkeiten auf und zwar sowohl bezÃ¼glich der dafÃ¼r verlangten beruflichen und intellektuellen Voraussetzungen wie auch hinsichtlich des kÃ¶rperlichen Einsatzes (BGE 110 V 273 E. 4b S. 276; Urteil 9C_121/2008 vom 4. August 2008 E. 5.1). Dementsprechend ist die Gerichtspraxis bei Versicherten, welche ihre dominante Hand gesundheitlich bedingt nur sehr eingeschrÃ¤nkt als unbelastete Zudienhand einsetzen konnten, bisher von einem hinreichend grossen Arbeitsmarkt mit realistischen BetÃ¤tigungsmÃ¶glichkeiten ausgegangen (vgl. Urteil 9C_442/2008 des Bundesgerichts vom 28. November 2008 E. 4.2 unter Hinweis auf Urteil 9C_830/2007 vom 29. Juli 2008 und Urteile des Eidg. Versicherungsgerichts U 521/06 vom 10. Dezember 2007, U 303/06 vom 22. November 2006, I 797/05 vom 29. August 2006 und I 685/05 vom 16. Mai 2006), wobei bei der Ermittlung des Invalideneinkommens mittels TabellenlÃ¶hnen der Erschwernis, eine leidensangepasste Stelle zu finden, regelmÃ¤ssig mit einem Abzug von 20 % oder sogar 25 % Rechnung getragen wurde (vgl. Urteil 9C_418/2008 des Bundesgerichts vom 17. September 2008 E. 3.2.2 unter Hinweis auf Urteil U 521/06 vom 10. Dezember 2007 sowie Urteile des Eidg. Versicherungsgerichts I 685/05 vom 16. Mai 2006, I 479/03 vom 19. November 2003, U 247/00 vom 28. Oktober 2002 und U 40/02 vom 18. Juli 2002).</w:t>
      </w:r>
    </w:p>
    <w:p>
      <w:r>
        <w:t>Â Â Â Â Â Â Â Â  Im Lichte dieser Rechtsprechung kann der Beschwerdegegnerin nicht vorgeworfen werden, sie habe die Auswirkungen der Ã¤rztlich festgestellten LeistungseinschrÃ¤nkungen auf die ErwerbsfÃ¤higkeit des BeschwerdefÃ¼hrers falsch beurteilt und damit das zumutbare Invalideneinkommen nicht richtig ermittelt. Die von der Beschwerdegegnerin verfÃ¼gte Aufhebung des Rentenanspruchs per Dezember 2006 erweist sich deshalb als rechtsbestÃ¤ndig.</w:t>
      </w:r>
    </w:p>
    <w:p>
      <w:r>
        <w:t>3.Â Â Â Â Â Â  Was die vom BeschwerdefÃ¼hrer gerÃ¼gte Verrechnung einer RÃ¼ckerstattungsforderung der Arbeitslosenkasse B.___, Winterthur, Ã¼ber Fr. 3'449.25 mit dem Nachzahlungsbetreffnis fÃ¼r die Monate Juli bis November 2006 (Urk. 1 S. 5 f.) anbelangt, ist zunÃ¤chst festzuhalten, dass der BeschwerdefÃ¼hrer nach Aktenlage keine Gelegenheit hatte, sich vor dem VerfÃ¼gungserlass hierzu zu Ã¤ussern. In ihrer Vernehmlassung vom 6. November 2007 nimmt die Beschwerdegegnerin dazu auch nicht Stellung. Ebenso wenig ist aus den Akten ersichtlich, wie sich der RÃ¼ckforderungsbetrag zusammensetzt und ob der BeschwerdefÃ¼hrer nach der ErhÃ¶hung des Tagessatzes eine Nachzahlung der Arbeitslosenkasse fÃ¼r die Laufzeit des Rentenanspruchs erhalten hat.</w:t>
      </w:r>
    </w:p>
    <w:p>
      <w:r>
        <w:t>Â Â Â Â Â Â Â Â  Der vom BeschwerdefÃ¼hrer beantragte zweite Schriftenwechsel genÃ¼gt nicht, um die diesbezÃ¼glichen VerfÃ¼gungsmÃ¤ngel zu heilen, weshalb die strittige Verrechnungsanordnung aufzuheben und die Sache zur AbklÃ¤rung dieses Sachverhalts sowie anschliessender GehÃ¶rsgewÃ¤hrung an die Beschwerdegegnerin zurÃ¼ckzuweisen ist.</w:t>
      </w:r>
    </w:p>
    <w:p>
      <w:r>
        <w:t>4.Â Â Â Â Â Â  Zusammenfassend ist in teilweiser Gutheissung der Beschwerde die mit der angefochtenen VerfÃ¼gung erfolgte Verrechnung einer RÃ¼ckerstattungsforderung der Arbeitslosenkasse B.___ aufzuheben und die Sache im Sinne von ErwÃ¤gung 3 an die Beschwerdegegnerin zurÃ¼ckzuweisen. Im Ãbrigen ist die Beschwerde aus den in ErwÃ¤gung 2 dargelegten GrÃ¼nden abzuweisen.</w:t>
      </w:r>
    </w:p>
    <w:p>
      <w:r>
        <w:t>5.Â Â Â Â Â Â  AusgangsgemÃ¤ss rechtfertigt es sich, die Verfahrenskosten von Fr. 600.-- zu zwei Dritteln dem BeschwerdefÃ¼hrer sowie zu einem Drittel der Beschwerdegegnerin aufzuerlegen, wobei der dem BeschwerdefÃ¼hrer aufzuerlegende Anteil in Gutheissung seines Gesuchs um GewÃ¤hrung der unentgeltlichen ProzessfÃ¼hrung auf die Gerichtskasse zu nehmen ist. Sodann ist die Beschwerdegegnerin zur Bezahlung einer reduzierten ProzessentschÃ¤digung von Fr. 500.-- an den BeschwerdefÃ¼hrer zu verpflichten.</w:t>
      </w:r>
    </w:p>
    <w:p>
      <w:r>
        <w:t>Das Gericht beschliesst:</w:t>
      </w:r>
    </w:p>
    <w:p>
      <w:r>
        <w:t>Â Â Â Â Â Â Â Â Â Â  In Bewilligung des Gesuchs vom 24. September 2007 wird dem BeschwerdefÃ¼hrer die unentgeltliche ProzessfÃ¼hrung gewÃ¤hrt.</w:t>
      </w:r>
    </w:p>
    <w:p>
      <w:r>
        <w:t>Der BeschwerdefÃ¼hrer wird auf Â§ 92 ZPO aufmerksam gemacht.</w:t>
      </w:r>
    </w:p>
    <w:p>
      <w:r>
        <w:t>Sodann erkennt das Gericht:</w:t>
      </w:r>
    </w:p>
    <w:p>
      <w:r>
        <w:t>1.Â Â Â Â Â Â Â Â  In teilweiser Gutheissung der Beschwerde wird die mit der angefochtenen VerfÃ¼gung vom 29. August 2007 angeordnete Verrechnung einer RÃ¼ckerstattungsforderung der Arbeitslosenkasse B.___ aufgehoben und die Sache zu weiteren AbklÃ¤rungen im Sinne von ErwÃ¤gung 3 und anschliessendem Neuentscheid Ã¼ber diesen Sachverhalt an die Beschwerdegegnerin zurÃ¼ckgewiesen. Im Ãbrigen wird die Beschwerde abgewiesen.</w:t>
      </w:r>
    </w:p>
    <w:p>
      <w:r>
        <w:t>2.Â Â Â Â Â Â Â Â  Die Gerichtskosten von Fr. 600.-- werden dem BeschwerdefÃ¼hrer zu zwei Dritteln sowie der Beschwerdegegnerin zu einem Drittel auferlegt. Zufolge GewÃ¤hrung der unentgeltlichen ProzessfÃ¼hrung werden die dem BeschwerdefÃ¼hrer auferlegten Kosten von Fr. 400.-- einstweilen auf die Gerichtskasse genommen. Rechnung und Einzahlungsschein werden der Kostenpflichtigen nach Eintritt der Rechtskraft zugestellt.</w:t>
      </w:r>
    </w:p>
    <w:p>
      <w:r>
        <w:t>3.Â Â Â Â Â Â Â Â  Die Beschwerdegegnerin wird verpflichtet, dem BeschwerdefÃ¼hrer eine reduzierte ProzessentschÃ¤digung von Fr. 500.-- (inkl. Barauslagen und MWSt) zu bezahlen.</w:t>
      </w:r>
    </w:p>
    <w:p>
      <w:r>
        <w:t>4.Â Â Â Â Â Â Â Â  Zustellung gegen Empfangsschein an:</w:t>
      </w:r>
    </w:p>
    <w:p>
      <w:r>
        <w:t>- RechtsanwÃ¤ltin Christina Ferritto-Keller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