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IV.2007.01190 vom 5. Januar 2009</w:t>
      </w:r>
    </w:p>
    <w:p>
      <w:r>
        <w:t>ZH Sozialversicherungsgericht, 2009-01-05, DE</w:t>
      </w:r>
    </w:p>
    <w:p>
      <w:r>
        <w:rPr>
          <w:b/>
        </w:rPr>
        <w:t xml:space="preserve">Quelle: </w:t>
      </w:r>
      <w:r>
        <w:t>https://mcp.opencaselaw.ch/entscheid/zh_sozialversicherungsgericht_IV.2007.01190</w:t>
      </w:r>
    </w:p>
    <w:p>
      <w:r>
        <w:t>FR: ZH_SOZIALVERSICHERUNGSGERICHT IV.2007.01190 du 5 janvier 2009</w:t>
      </w:r>
    </w:p>
    <w:p>
      <w:r>
        <w:t>IT: ZH_SOZIALVERSICHERUNGSGERICHT IV.2007.01190 del 5 gennaio 2009</w:t>
      </w:r>
    </w:p>
    <w:p>
      <w:pPr>
        <w:pStyle w:val="Heading2"/>
      </w:pPr>
      <w:r>
        <w:t>Erwägungen</w:t>
      </w:r>
    </w:p>
    <w:p>
      <w:r>
        <w:rPr>
          <w:b/>
        </w:rPr>
        <w:t>E. 2</w:t>
      </w:r>
    </w:p>
    <w:p>
      <w:r>
        <w:t>2.1Â Â Â Â  Strittig und zu prÃ¼fen ist, ob der BeschwerdefÃ¼hrer im Zusammenhang mit dem Lehrgang ÂE.___Â am C.___ "___" Anspruch auf Ãbernahme der Ausbildungskosten sowie die Ausrichtung eines Taggeldes hat.</w:t>
      </w:r>
    </w:p>
    <w:p>
      <w:r>
        <w:t>Â Â Â Â Â Â Â Â  Die Beschwerdegegnerin verneinte einen Anspruch mit der BegrÃ¼ndung, der BeschwerdefÃ¼hrer sei mit dem kaufmÃ¤nnischen Berufsabschluss mit Berufsmatura angemessen eingegliedert. Beim Lehrgang ÂE.___Â handle es sich im Gegensatz zu einer erstmaligen beruflichen Ausbildung um eine berufliche Weiterausbildung, fÃ¼r welche lediglich die entstandenen Mehrkosten im Vergleich zu einer nicht behinderten Person geltend gemacht werden kÃ¶nnten.</w:t>
      </w:r>
    </w:p>
    <w:p>
      <w:r>
        <w:t>Â Â Â Â Â Â Â Â  Der BeschwerdefÃ¼hrer stellt sich demgegenÃ¼ber auf den Standpunkt, die Beschwerdegegnerin habe zu verantworten, dass er den langwierigen zweiten Bildungsweg beschreiten mÃ¼sse. Er sei behinderungsbedingt in der Sekundarschule gelandet, da von der IV-Stelle der gymnasiale Weg von vornherein nicht geprÃ¼ft worden sei (Urk. 1 S. 7 Ziff. 18). Die Beschwerdegegnerin habe ihm ein Ausbildungsziel vorgeschlagen, welches seinen persÃ¶nlichen Eigenschaften nicht entsprochen habe. Er werde eine KV-Stelle nicht bewÃ¤ltigen kÃ¶nnen, da diese mit zu vielen SchreibtÃ¤tigkeiten und damit einhergehend mit monotoner Armhaltung und Tippen verbunden sei. Er habe Anspruch auf KostenÃ¼bernahme unter dem Titel Neuausbildung (Urk. 1 S. 8 Ziff. 19). HÃ¤tte die Beschwerdegegnerin von Beginn weg adÃ¤quate, angemessene Eingliederungsmassnahmen getroffen, wÃ¤re er heute lÃ¤ngstens im Besitz der gymnasialen Matur und am Studieren. Da seine Eltern finanziell nicht auf Rosen gebettet seien, hÃ¤tte er wÃ¤hrend der Semesterferien arbeiten mÃ¼ssen, weshalb ihm ein Taggeld auszurichten sei (Urk. 1 S. 8 Ziff. 21).</w:t>
      </w:r>
    </w:p>
    <w:p>
      <w:r>
        <w:rPr>
          <w:b/>
        </w:rPr>
        <w:t>E. 3</w:t>
      </w:r>
    </w:p>
    <w:p>
      <w:r>
        <w:t>3.1Â Â Â Â  Vorerst zu prÃ¼fen ist der Anspruch des BeschwerdefÃ¼hrers auf Ãbernahme der Kosten fÃ¼r die Ausbildung.</w:t>
      </w:r>
    </w:p>
    <w:p>
      <w:r>
        <w:t>Â Â Â Â Â Â Â Â  DiesbezÃ¼glich ist festzuhalten, dass aufgrund der klaren gesetzlichen Regelung in Art. 16 Abs. 1 IVG in Verbindung mit Art. 5 Abs. 2 und 3 IVV und Art. 5 bis Abs. 1 und 2 IVV kein Raum fÃ¼r eine Ãbernahme der Ausbildungskosten besteht (vgl. vorstehend Erw. 1.2 und 1.4). Sowohl bei einer erstmaligen beruflichen Ausbildung (Art. 16 Abs. 1) beziehungsweise einer Neuausbildung (Art. 16 Abs. 2 lit. b) als auch bei einer beruflichen Weiterausbildung (Art. 16 Abs. 2 lit. c) werden im Rahmen beruflicher Massnahmen lediglich die Mehrkosten Ã¼bernommen; mithin diejenigen Kosten die der invaliden Person zusÃ¤tzlich entstehen, hingegen bei einer gesunden Person nicht anfallen wÃ¼rden. Deshalb ist es fÃ¼r die beantragte Ãbernahme der Ausbildungskosten nicht entscheidend, ob es sich beim vom BeschwerdefÃ¼hrer absolvierten Lehrgang ÂE.___Â um eine erstmalige berufliche Ausbildung beziehungsweise berufliche Neuausbildung oder eine berufliche Weiterausbildung handelt, da unter allen Titeln vom Gesetz lediglich eine Ãbernahme der Mehrkosten vorgesehen ist. Dem Beschwer-defÃ¼hrer entstehen jedoch - ausser den mit VerfÃ¼gung vom 18. Juli 2007 (Urk. 2) zugesprochenen Taxikosten - keine Mehrkosten im Vergleich mit einer nicht invaliden Person.</w:t>
      </w:r>
    </w:p>
    <w:p>
      <w:r>
        <w:t>Â Â Â Â Â Â Â Â  Nicht gefolgt werden kann deshalb der Argumentation des BeschwerdefÃ¼hrers, dass er die gymnasiale Matur aufgrund fehlerhaften Verhaltens der Beschwerdegegnerin im Zusammenhang mit der Zusprechung von beruflichen Massnahmen auf dem zweiten Bildungsweg nachholen mÃ¼sse. Einerseits ergibt sich aus den Akten, dass die Eingliederungsmassnahmen in beruflicher Hinsicht jeweils erst nach sorgfÃ¤ltiger AbklÃ¤rung (vgl. Verlaufsprotokolle Berufsberatung, Urk. 13/176, Urk. 13/240, Urk. 13/290, Urk. 13/316, Urk. 13/324, Urk. 13/416) und in Absprache mit dem BeschwerdefÃ¼hrer zugesprochen wurden und jeweils seinen FÃ¤higkeiten entsprochen haben (vgl. Sekundarschulzeugnis, Urk. 13/177; Schreiben Ausbildungszentrum B.___ vom 8. MÃ¤rz 2002, Urk. 13/230; Lehrzeugnis und Schlussbericht des Ausbildungszentrums B.___, Urk. 13/249-250; Quartalszeugnis Vorbereitung BÃ¼rofachdiplom mit Notendurchschnitt 4,7; Urk. 13/258; Semesterzeugnis Vorbereitung BÃ¼rofachdiplom VSH mit Notendurchschnitt 4,9; Urk. 13/266; Notenausweis Interne KV-VorprÃ¼fung mit Gesamtnote 4,3; Urk. 13/345; FÃ¤higkeitszeugnis kaufmÃ¤nnischer Angestellter mit Gesamtnote 4,8; Urk. 13/351; AufnahmeprÃ¼fung kaufmÃ¤nnische BerufsmaturitÃ¤t mit Notendurchschnitt 4,6; Urk. 13/385; 1. Quartalszeugnis kaufmÃ¤nnische BerufsmaturitÃ¤t mit Notendurchschnitt 4,6; Urk. 13/397; Hauptkurszeugnis kaufmÃ¤nnische BerufsmaturitÃ¤t mit Notendurchschnitt 4,9; Urk. 13/403). Sodann ergibt sich aufgrund der medizinischen Aktenlage, dass beim BeschwerdefÃ¼hrer eine kÃ¶rperliche Behinderung besteht und nicht etwa eine psychische oder geistige, welche ihn am Besuch eines staatlichen Gymnasiums gehindert hÃ¤tte, so dass er dasselbe Ausbildungsziel faktisch nur noch an einer wesentlich kostspieligeren Privatschule hÃ¤tte erreichen kÃ¶nnen. Deshalb ist nicht davon auszugehen, dass es dem BeschwerdefÃ¼hrer invaliditÃ¤tsbedingt verwehrt war, das staatliche Gymnasium zu besuchen, was jedoch Voraussetzung fÃ¼r einen Anspruch auf eine Ãbernahme der Ausbildungskosten wÃ¤re, da lediglich in diesem Fall von invaliditÃ¤tsbedingten Mehrkosten auszugehen wÃ¤re (vgl. auch Urteil des EidgenÃ¶ssischen Versicherungsgerichts in Sachen M. vom 20. Juni 2006, I 77/06). Nach dem Gesagten besteht aufgrund der klaren gesetzlichen Regelung kein Raum fÃ¼r die Ãbernahme der Ausbildungskosten.</w:t>
      </w:r>
    </w:p>
    <w:p>
      <w:r>
        <w:t>3.2Â Â Â Â  Sodann ist die Ausrichtung eines Taggeldes fÃ¼r die Dauer des Lehrgangs ÂE.___Â am C.___ zu prÃ¼fen. DiesbezÃ¼glich ist hingegen entscheidend, ob es sich bei der Ausbildung invalidenversicherungsrechtlich um einen integralen Bestandteil der erstmaligen beruflichen Ausbildung (Art. 16 Abs. 1) oder um eine Neuausbildung (Art. 16 Abs. 2 lit. b IVG) oder eine berufliche Weiterausbildung im Sinne von Art. 16 Abs. 2 lit. c IVG handelt, da fÃ¼r letztere kein Anspruch auf ein Taggeld besteht (Art. 22 Abs. 5 IVG).</w:t>
      </w:r>
    </w:p>
    <w:p>
      <w:r>
        <w:t>Â Â Â Â Â Â Â Â  Der Lehrgang ÂE.___Â am C.___ ist zugÃ¤nglich fÃ¼r Absolventen der BerufsmaturitÃ¤t und fÃ¼hrt zur schweizerischen MaturitÃ¤t, welche den Zugang zur UniversitÃ¤t ermÃ¶glicht. Daraus ergibt sich dass der Lehrgang keinen integralen Bestandteil, der dem BeschwerdefÃ¼hrer von der Invalidenversicherung zugesprochenen erstmaligen Ausbildung (Art. 16 Abs. 1 IVG) zum kaufmÃ¤nnischen Angestellten darstellt, sondern vielmehr eine davon unabhÃ¤ngige Weiterbildung.</w:t>
      </w:r>
    </w:p>
    <w:p>
      <w:r>
        <w:t>3.3Â Â Â Â  Damit stellt sich die Frage, ob der Lehrgang als Neuausbildung im Sinne von Art. 16 Abs. 2 lit. b IVG zu betrachten ist. Eine LeistungsgewÃ¤hrung gestÃ¼tzt auf diese Bestimmung wÃ¼rde voraussetzen, dass der BeschwerdefÃ¼hrer nach Eintritt der InvaliditÃ¤t eine ungeeignete und auf die Dauer unzumutbare ErwerbstÃ¤tigkeit aufgenommen hat, wobei die Unzumutbarkeit unmittelbar durch das Leiden im Sinne von Art. 4 Abs. 1 IVG verursacht sein muss (AHI 1998 S. 117 Erw. 3b, Urteil des EidgenÃ¶ssischen Versicherungsgerichts in Sachen G. vom 11. Juni 2003, I 93/03). Es finden sich in den medizinischen Akten keine Hinweise darauf, dass die TÃ¤tigkeit als kaufmÃ¤nnischer Angestellter dem BeschwerdefÃ¼hrer aus medizinischer Sicht nicht zumutbar wÃ¤re. Zwar hielt Dr. med. F.___, Leitender Arzt OrthopÃ¤die, Chirurgische Klinik, UniversitÃ¤ts-Kinderspital ZÃ¼rich, in seinem Bericht vom 25. Juli 2006 fest, die Weiterbildung sei aus medizinischer Sicht sinnvoll, da der BeschwerdefÃ¼hrer aufgrund seiner kÃ¶rperlichen Behinderung fÃ¼r eine Arbeit mit hauptsÃ¤chlicher ÂKopfarbeitÂ deutlich besser geeignet wÃ¤re als bei einer Arbeit mit hauptsÃ¤chlicher AusfÃ¼hrung von Schreibarbeiten. Der BeschwerdefÃ¼hrer sei aufgrund seiner Behinderung (Zerebralparese mit Spastik im Bereich der HÃ¤nde) nicht in der Lage, Schreibarbeiten am Computer wie eine gesunde Person ausfÃ¼hren zu kÃ¶nnen. Dementsprechend kÃ¶nne zumindest aus orthopÃ¤discher Sicht eine Umschulung nur unterstÃ¼tzt werden. Aufgrund der intellektuellen FÃ¤higkeiten sollte das Jurastudium gut absolvierbar sein (Urk. 13/411). Aufgrund dieses Berichts kann jedoch nicht davon ausgegangen werden, dass dem BeschwerdefÃ¼hrer die TÃ¤tigkeit als kaufmÃ¤nnischer Angestellter unzumutbar wÃ¤re; vielmehr ergibt sich daraus lediglich, dass eine BeeintrÃ¤chtigung bei der AusfÃ¼hrungen von Schreibarbeiten am Computer besteht. Jedoch existieren im kaufmÃ¤nnischen Bereich auch zahlreiche Stellen, bei denen die Computerarbeit nicht im Vordergrund steht. Sodann ist in der heutigen Zeit die Schreibarbeit am Computer auch Bestandteil bei der AusÃ¼bung des Berufes nach einem Studium in Jurisprudenz, Sprachwissenschaften, Geschichte oder Medizin, wie vom BeschwerdefÃ¼hrer gewÃ¼nscht (vgl. Urk. 1 S. 5 Ziff. 13). Das Ausmass an Schreibarbeit hÃ¤ngt vielmehr von der konkreten Stelle ab. Eine Reduktion der TÃ¤tigkeit als kaufmÃ¤nnischer Angestellter als reine Schreibkraft am Computer sowie eine Reduktion der Arbeit als Jurist oder Mediziner auf reine ÂKopfarbeitÂ wÃ¤re zu einfach und wÃ¼rde der Vielfalt an mÃ¶glichen Stellen nicht gerecht. Insgesamt ist vielmehr davon auszugehen, dass der Anteil an Schreibarbeit am Computer in etwa vergleichbar ist. Damit ist ein Anspruch auf eine berufliche Neuausbildung zu verneinen, da dem BeschwerdefÃ¼hrer die TÃ¤tigkeit als kaufmÃ¤nnischer Angestellter weiterhin zumutbar ist.</w:t>
      </w:r>
    </w:p>
    <w:p>
      <w:r>
        <w:t>3.4Â Â Â Â Â Â Â Â  Schliesslich scheidet auch ein Anspruch auf eine berufliche Weiterausbildung im Sinne von Art. 16 Abs. 2 lit. c IVG aus, bei der jedoch ohnehin kein Anspruch auf ein Taggeld bestehen wÃ¼rde (Art. 22 Abs. 5 IVG). Denn nach der Rechtsprechung ist unter dem Begriff der Weiterausbildung gemÃ¤ss Art. 16 Abs. 2 lit. c IVG jene Berufsbildung zu verstehen, welche die im Wesentlichen bereits erworbenen Kenntnisse eines Berufes im Hinblick auf ein Ziel innerhalb derselben Berufsart weiter ausbaut; es muss sich um die Fortsetzung oder Vervollkommnung einer erstmaligen Berufsbildung handeln. DemgemÃ¤ss stellt eine Berufsschulung, die auf ein wesentlich anderes berufliches Endziel als die ursprÃ¼ngliche Ausbildung gerichtet ist, keine Weiterausbildung, sondern eine Umschulung im Sinne von Art. 17 IVG dar (AHI 1998 S. 118 Erw. 3b mit Hinweisen). Bei der eidgenÃ¶ssischen MaturitÃ¤t handelt es sich nicht um eine Vervollkommnung der kaufmÃ¤nnischen Ausbildung, sondern um die Vorbereitung fÃ¼r ein Studium, weshalb eine berufliche Weiterausbildung im Sinne von Art. 16 Abs. 2 lit. c IVG von vorneherein ausser Betracht fÃ¤llt.</w:t>
      </w:r>
    </w:p>
    <w:p>
      <w:r>
        <w:t>3.5Â Â Â Â  Ebenso wenig sind letztlich die Voraussetzungen fÃ¼r eine Umschulung im Sinne von Art. 17 IVG gegeben. Wie das EidgenÃ¶ssische Versicherungsgericht in BGE 118 V 14 Erw. 1c/cc erkannte, gilt nur diejenige berufliche Ausbildung als Umschulung und fÃ¤llt damit unter Art. 17 IVG, welche die Invalidenversicherung einem schon vor Eintritt der InvaliditÃ¤t - im Sinne des fÃ¼r die Eingliederungsmassnahme spezifischen Versicherungsfalles - erwerbstÃ¤tig gewesenen Versicherten nach dem Eintritt der InvaliditÃ¤t und wegen dieser InvaliditÃ¤t schuldet; ein im Sinne der Rechtsprechung Ã¶konomisch relevantes Einkommen muss daher nicht nur vor Beginn der Eingliederungsmassnahme, sondern vor Eintritt der InvaliditÃ¤t im Sinne des spezifischen Versicherungsfalles erzielt worden sein (AHI 2000 S. 190 f. Erw. 2a). Nur auf diese Weise wird - vorbehÃ¤ltlich Art. 6 Abs. 2 IVV, welcher bei invaliditÃ¤tsbedingtem Abbruch einer erstmaligen beruflichen Ausbildung die neue berufliche Ausbildung unter den dort nÃ¤her umschriebenen Voraussetzungen der Umschulung gleichstellt - eine Abgrenzung der Umschulung nach Art. 17 IVG einerseits von der beruflichen Neuausbildung nach Art. 16 Abs. 2 lit. b IVG andererseits erreicht. Da der BeschwerdefÃ¼hrer vor Eintritt der InvaliditÃ¤t kein relevantes Einkommen erzielt hat, kann der beantragte Lehrgang auch nicht im Rahmen einer Umschulung von der Invalidenversicherung Ã¼bernommen werden.</w:t>
      </w:r>
    </w:p>
    <w:p>
      <w:r>
        <w:t>3.6Â Â Â Â  Damit ergibt sich, dass der BeschwerdefÃ¼hrer unter keinem Titel Anspruch auf ein Taggeld im Zusammenhang mit dem Lehrgang ÂE.___Â hat.</w:t>
      </w:r>
    </w:p>
    <w:p>
      <w:r>
        <w:t>Â Â Â Â Â Â Â Â  Dies fÃ¼hrt zur Abweisung der Beschwerde.</w:t>
      </w:r>
    </w:p>
    <w:p>
      <w:r>
        <w:rPr>
          <w:b/>
        </w:rPr>
        <w:t>E. 4</w:t>
      </w:r>
    </w:p>
    <w:p>
      <w:r>
        <w:t>4.1Â Â Â Â Â Â Â Â  Vorliegend sind beim BeschwerdefÃ¼hrer die Voraussetzungen zur Bewilligung der unentgeltlichen ProzessfÃ¼hrung gemÃ¤ss Â§ 28 lit. a des Gesetzes Ã¼ber das Sozialversicherungsgericht (GSVGer) in Verbindung mit Â§ 84 Abs. 1 der Zivilprozessordnung (ZPO) und zur Bestellung einer unentgeltlichen Rechtsvertretung gemÃ¤ss Â§ 16 Abs. 1 GSVGer erfÃ¼llt.</w:t>
      </w:r>
    </w:p>
    <w:p>
      <w:r>
        <w:t>4.2Â Â Â Â  Die unentgeltliche Rechtsvertreterin des BeschwerdefÃ¼hrers hat mit Honorarnote vom 18. November 2008 einen Aufwand von 13.3 Stunden und Barauslagen in der HÃ¶he von pauschal 3 % geltend gemacht (Urk. 16). Beim praxisgemÃ¤ssen Ansatz von Fr. 200.-- (zuzÃ¼glich 7.6 % Mehrwertsteuer) ist sie somit mit Fr. 2'948.-- (Honorar und Auslagenersatz inklusive Mehrwertsteuer) aus der Gerichtskasse zu entschÃ¤digen.</w:t>
      </w:r>
    </w:p>
    <w:p>
      <w:r>
        <w:t>Das Gericht beschliesst:</w:t>
      </w:r>
    </w:p>
    <w:p>
      <w:r>
        <w:t>In Bewilligung des Gesuchs vom 11. September 2007 wird dem BeschwerdefÃ¼hrer RechtsanwÃ¤ltin Evalotta Samuelsson, ZÃ¼rich, als unentgeltliche Rechtsvertreterin fÃ¼r das vorliegende Verfahren bestellt und es wird ihm die unentgeltliche ProzessfÃ¼hrung gewÃ¤hrt.</w:t>
      </w:r>
    </w:p>
    <w:p>
      <w:r>
        <w:t>und erkennt:</w:t>
      </w:r>
    </w:p>
    <w:p>
      <w:r>
        <w:t>1.Â Â Â Â Â Â Â Â  Die Beschwerde wird abgewiesen.</w:t>
      </w:r>
    </w:p>
    <w:p>
      <w:r>
        <w:t>2.Â Â Â Â Â Â Â Â  Die Gerichtskosten von Fr. 700.-- werden dem BeschwerdefÃ¼hrer auferlegt, zufolge GewÃ¤hrung der unentgeltlichen ProzessfÃ¼hrung jedoch einstweilen auf die Gerichtskasse genommen.</w:t>
      </w:r>
    </w:p>
    <w:p>
      <w:r>
        <w:t>3.Â Â Â Â Â Â Â Â  Die unentgeltliche Rechtsvertreterin des BeschwerdefÃ¼hrers, RechtsanwÃ¤ltin Evalotta Samuelsson, ZÃ¼rich, wird mit Fr. 2'948.-- (inkl. Barauslagen und MWSt) aus der Gerichtskasse entschÃ¤digt. Der BeschwerdefÃ¼hrer wird auf Â§ 92 ZPO hingewiesen.</w:t>
      </w:r>
    </w:p>
    <w:p>
      <w:r>
        <w:t>4.Â Â Â Â Â Â Â Â Â Â  Zustellung gegen Empfangsschein an:</w:t>
      </w:r>
    </w:p>
    <w:p>
      <w:r>
        <w:t>- RechtsanwÃ¤ltin Evalotta Samuelsson</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