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IV.2007.01033 vom 25. September 2007</w:t>
      </w:r>
    </w:p>
    <w:p>
      <w:r>
        <w:t>ZH Sozialversicherungsgericht, 2007-09-25, DE</w:t>
      </w:r>
    </w:p>
    <w:p>
      <w:r>
        <w:rPr>
          <w:b/>
        </w:rPr>
        <w:t xml:space="preserve">Quelle: </w:t>
      </w:r>
      <w:r>
        <w:t>https://mcp.opencaselaw.ch/entscheid/zh_sozialversicherungsgericht_IV.2007.01033</w:t>
      </w:r>
    </w:p>
    <w:p>
      <w:r>
        <w:t>FR: ZH_SOZIALVERSICHERUNGSGERICHT IV.2007.01033 du 25 septembre 2007</w:t>
      </w:r>
    </w:p>
    <w:p>
      <w:r>
        <w:t>IT: ZH_SOZIALVERSICHERUNGSGERICHT IV.2007.01033 del 25 settembre 2007</w:t>
      </w:r>
    </w:p>
    <w:p>
      <w:pPr>
        <w:pStyle w:val="Heading2"/>
      </w:pPr>
      <w:r>
        <w:t>Erwägungen</w:t>
      </w:r>
    </w:p>
    <w:p>
      <w:r>
        <w:rPr>
          <w:b/>
        </w:rPr>
        <w:t>E. 1</w:t>
      </w:r>
    </w:p>
    <w:p>
      <w:r>
        <w:t>1.1Â Â Â Â  GemÃ¤ss Art. 8 Abs. 1 des Bundesgesetzes Ã¼ber die Invalidenversicherung (IVG) haben Invalide oder von einer InvaliditÃ¤t unmittelbar bedrohte Versicherte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w:t>
      </w:r>
    </w:p>
    <w:p>
      <w:r>
        <w:t>Â Â Â Â Â Â Â Â  Als Massnahmen beruflicher Art fallen Berufsberatung (Art. 15 IVG), Umschulung (Art. 17 IVG) und Arbeitsvermittlung (Art. 18 IVG) in Betracht.</w:t>
      </w:r>
    </w:p>
    <w:p>
      <w:r>
        <w:t>1.2Â Â Â Â  Nach Art. 43 Abs. 1 des Bundesgesetzes Ã¼ber den Allgemeinen Teil des Sozialversicherungsrechts (ATSG) prÃ¼ft der VersicherungstrÃ¤ger die Begehren der versicherten Person, nimmt die notwendigen AbklÃ¤rungen von Amtes wegen vor und holt die erforderlichen AuskÃ¼nfte ein, wobei mÃ¼ndlich erteilte AuskÃ¼nfte schriftlich festzuhalten sind. Soweit Ã¤rztliche oder fachliche Untersuchungen fÃ¼r die Beurteilung notwendig und zumutbar sind, hat sich die versicherte Person diesen zu unterziehen (Art. 43 Abs. 2 ATSG).</w:t>
      </w:r>
    </w:p>
    <w:p>
      <w:r>
        <w:t>Â Â Â Â Â Â Â Â  Kommt die versicherte Person, die Leistungen beansprucht, den Auskunfts- oder Mitwirkungspflichten in unentschuldbarer Weise nicht nach, so kann der VersicherungstrÃ¤ger aufgrund der Akten verfÃ¼gen oder die Erhebungen einstellen und Nichteintreten beschliessen. Er muss den Versicherten vorher schriftlich mahnen und auf die Rechtsfolgen hinweisen; ihnen ist eine angemessene Bedenkzeit einzurÃ¤umen (Art. 43 Abs. 3 ATSG; vgl. auch BGE 132 V 99 Erw. 4).</w:t>
      </w:r>
    </w:p>
    <w:p>
      <w:r>
        <w:t>1.3Â Â Â Â  Das in Art. 43 Abs. 3 ATSG geregelte Mahn- und Bedenkzeitverfahren entspricht demjenigen, welches bei fehlender Mitwirkung bei Eingliederung oder Behandlung nach Art. 21 Abs. 4 ATSG durchzufÃ¼hren ist (Kieser, ATSG-Kommentar, N 40 zu Art. 43).</w:t>
      </w:r>
    </w:p>
    <w:p>
      <w:r>
        <w:t>2.Â Â Â Â Â Â  Die Beschwerdegegnerin verneinte im angefochtenen Entscheid unter Hinweis auf Art. 43 Abs. 3 ATSG einen Leistungsanspruch mit der BegrÃ¼ndung, der BeschwerdefÃ¼hrer habe sich einer zumutbaren medizinischen AbklÃ¤rung widersetzt, weshalb sie aufgrund der vorliegenden Akten entscheide (Urk. 2).</w:t>
      </w:r>
    </w:p>
    <w:p>
      <w:r>
        <w:t>Â Â Â Â Â Â Â Â  Dem hielt der BeschwerdefÃ¼hrer entgegen, er sei zum vereinbarten Termin bei Dr. C.___ nicht erschienen, weil er vom 31. Januar bis 13. April 2007 in Untersuchungshaft gesessen habe (vgl. auch den Entlassungsbefehl,Â  Urk. 3/2). In der Hektik dieser Zeit sei eine entsprechende Meldung an den Arzt oder die Beschwerdegegnerin unterblieben. Er sei jedoch gerne bereit, an allen notwendigen AbklÃ¤rungen mitzuwirken (Urk. 1).</w:t>
      </w:r>
    </w:p>
    <w:p>
      <w:r>
        <w:t>Â Â Â Â Â Â Â Â  Vernehmlassungsweise stellte sich die Beschwerdegegnerin auf den Standpunkt, sie habe das Mahn- und Bedenkzeitverfahren korrekt eingeleitet und auf die Konsequenzen hingewiesen. Innert Frist habe der BeschwerdefÃ¼hrer nicht reagiert und damit konkludent die Absicht geÃ¤ussert, dass er sich auch bei einer Aufforderung einer weiteren Begutachtung nicht unterzogen hÃ¤tte. Angesichts des laufenden IV-Verfahrens habe der BeschwerdefÃ¼hrer gewusst, dass eine Begutachtung notwendig sei, weswegen ihn eine Melde- und Informationspflicht treffe; er hÃ¤tte mithin die IV-Stelle Ã¼ber seinen Aufenthalt in der Strafanstalt in Kenntnis setzen mÃ¼ssen. Schliesslich wÃ¤re es der Ehegattin aufgrund der ehelichen Beistandspflicht zuzumuten gewesen, dem BeschwerdefÃ¼hrer die Post ins GefÃ¤ngnis zu bringen (Urk. 6).</w:t>
      </w:r>
    </w:p>
    <w:p>
      <w:r>
        <w:rPr>
          <w:b/>
        </w:rPr>
        <w:t>E. 3</w:t>
      </w:r>
    </w:p>
    <w:p>
      <w:r>
        <w:t>3.1Â Â Â Â Â Â Â Â  Ausgewiesen ist, dass die Beschwerdegegnerin am 7. November 2006 die medizinische Begutachtung angeordnet hat (Urk. 7/55). Am 10. Januar 2007 ersuchte der BeschwerdefÃ¼hrer Dr. C.___ um Verschiebung des bereits angesetzten Termins (vgl. Urk. 7/57/4-5). Der Gutachter gab an, er habe den BeschwerdefÃ¼hrer am 15. Januar 2007 zu einem neuen Termin am 13. MÃ¤rz 2007 aufgeboten (Urk. 7/57 S. 1). Diesen hat der BeschwerdefÃ¼hrer unstreitig wegen der zwischenzeitlich angeordneten Untersuchungshaft nicht wahrgenommen (vgl. Urk. 1, Urk. 3/1-2).</w:t>
      </w:r>
    </w:p>
    <w:p>
      <w:r>
        <w:t>Â Â Â Â Â Â Â Â  Ohne vorgÃ¤ngige DurchfÃ¼hrung eines formellen Mahn- und Bedenkzeitverfahrens erliess die Beschwerdegegnerin in der Folge den leistungsabweisenden Vorbescheid vom 18. Mai 2007 mit dem Hinweis auf die Auskunfts- und Mitwirkungspflicht nach Art. 43 Abs. 3 Satz 1 ATSG (Urk. 7/60). Nachdem der BeschwerdefÃ¼hrer zum Vorbescheid keine Stellung genommen hatte, erging am 29. Juni 2007 die hier angefochtene VerfÃ¼gung mit unverÃ¤ndertem Wortlaut (Urk. 2).</w:t>
      </w:r>
    </w:p>
    <w:p>
      <w:r>
        <w:t>3.2Â Â Â Â Â Â Â Â  Entgegen der Darstellung der Beschwerdegegnerin in der Vernehmlassung (Urk. 6) ist nur mit dem Hinweis im Vorbescheid auf die Mitwirkungspflicht den formellen Anforderungen an das Mahn- und Bedenkzeitverfahren offensichtlich nicht GenÃ¼ge getan.</w:t>
      </w:r>
    </w:p>
    <w:p>
      <w:r>
        <w:t>Â Â Â Â Â Â Â Â  Das EidgenÃ¶ssische Versicherungsgericht hat bereits in BGE 122 V 220 mit Blick auf die bis am 31. Dezember 2002 in Kraft gewesene Fassung von Art. 10 Abs. 2 IVG und Art. 31 IVG - und mithin unter der Herrschaft des auch seinerzeit gÃ¼ltigen Vorbescheidverfahrens - erwogen, das Mahn- und Bedenkzeitverfahren kÃ¶nne nicht durch einen blossen (in die AblehnungsverfÃ¼gung aufgenommenen) Hinweis ersetzt werden. Die Verweigerung der Leistung kÃ¶nne erst verfÃ¼gt werden, wenn die Verwaltung den Versicherten vorgÃ¤ngig durch eine schriftliche Mahnung und unter EinrÃ¤umung einer angemessenen Bedenkzeit auf die Folgen seiner Widersetzlichkeit aufmerksam gemacht habe. Nur eine konsequente Handhabung des Mahn- und Bedenkzeitverfahrens schaffe klare VerhÃ¤ltnisse in dem Sinne, dass der Versicherte wisse, woran er sei. Das Mahn- und Bedenkzeitverfahren mÃ¼sse sogar auch dann durchgefÃ¼hrt werden, wenn die versicherte Person eine Anordnung unmissverstÃ¤ndlich abgelehnt habe. Denn Sinn und Zweck dieses Verfahrens sei es, die versicherte Person in jedem Fall auf die mÃ¶glichen nachteiligen Folgen ihres Widerstandes aufmerksam zu machen und sie so in die Lage zu versetzen, in Kenntnis aller wesentlichen Faktoren ihre Entscheidung zu treffen (BGE 122 V 219 f.).</w:t>
      </w:r>
    </w:p>
    <w:p>
      <w:r>
        <w:t>Â Â Â Â Â Â Â Â  Dabei fÃ¤llt ins Gewicht, dass im Verwaltungsverfahren Gutachtenanordnungen nicht in VerfÃ¼gungsform zu ergehen haben. Daher sind die Verfahrensbeteiligten darÃ¼ber aufzuklÃ¤ren, dass ein bestimmtes Verhalten zu rechtlichen Folgen fÃ¼hren kann (BGE 132 V 104 Erw. 5.2.7). Ferner trifft die Beschwerdegegnerin gestÃ¼tzt auf Art. 27 Abs. 2 ATSG eine Beratungspflicht, welche ihr jedenfalls vorschreibt, die versicherte Person darauf aufmerksam zu machen, dass ihr Verhalten die Voraussetzungen des Leistungsanspruches gefÃ¤hrden kann (BGE 131 V 476 Erw. 4).</w:t>
      </w:r>
    </w:p>
    <w:p>
      <w:r>
        <w:t>3.3Â Â Â Â  In Missachtung der zwingenden gesetzlichen Vorschrift Ã¼ber die EinrÃ¤umung einer angemessenen Bedenkzeit (Art. 43 Abs. 3 letzter Satz ATSG) hat die Beschwerdegegnerin allein aufgrund der Ã¤rztlichen Mitteilung, der BeschwerdefÃ¼hrer sei nicht zum angesetzten Termin erschienen (Urk. 7/57/1-3), mit Vorbescheid Ã¼ber die Leistungsverweigerung entschieden (Urk. 7/59).</w:t>
      </w:r>
    </w:p>
    <w:p>
      <w:r>
        <w:t>Â Â Â Â Â Â Â Â  VorgÃ¤ngig zu diesem Entscheid hÃ¤tte die Beschwerdegegnerin eine Verletzung der Mitwirkungspflicht ausdrÃ¼cklich rÃ¼gen und den BeschwerdefÃ¼hrer unter Fristansetzung zu einem konkreten Verhalten auffordern mÃ¼ssen. Indem sie das Mahn- und Bedenkzeitverfahren nicht bzw. nicht vorgÃ¤ngig durchgefÃ¼hrt hat, ist ein Abschluss der beruflichen Massnahmen im Sinne der sanktionsweisen Einstellung dieser Leistung wegen Verletzung der Mitwirkungs- beziehungsweise Schadensminderungspflicht nicht zulÃ¤ssig.</w:t>
      </w:r>
    </w:p>
    <w:p>
      <w:r>
        <w:t>Â Â Â Â Â Â Â Â  Die Beschwerde ist daher in dem Sinne gutzuheissen, dass der angefochtene Entscheid aufgehoben und die Sache an die Beschwerdegegnerin zurÃ¼ckgewiesen wird, damit sie vor dem Entscheid Ã¼ber das Leistungsbegehren das Mahn- und Bedenkzeitverfahren durchfÃ¼hre.</w:t>
      </w:r>
    </w:p>
    <w:p>
      <w:r>
        <w:t>4.Â Â Â Â Â Â  Da es im vorliegenden Verfahren um die Bewilligung oder Verweigerung von IV-Leistungen geht, ist das Verfahren kostenpflichtig. Die Gerichtskosten sind nach dem Verfahrensaufwand und unabhÃ¤ngig vom Streitwert festzulegen (Art. 69 Abs. 1 bis IVG) und auf Fr. 600.-- anzusetzen.</w:t>
      </w:r>
    </w:p>
    <w:p>
      <w:r>
        <w:t>Â Â Â Â Â Â Â Â  Nach stÃ¤ndiger Rechtsprechung gilt die RÃ¼ckweisung einer Sache an die Verwaltung als vollstÃ¤ndiges Obsiegen (vgl. Urteil des EidgenÃ¶ssischen Versicherungsgerichts vom 10. Februar 2004 in Sachen K., U 199/02, Erw. 6, mit Hinweis auf BGE 110 V 57 Erw. 3a; SVR 1999 IV Nr. 10 S. 28 Erw. 3), weshalb die Gerichtskosten entsprechend dem Ausgang des Verfahrens der Beschwerdegegnerin aufzuerlegen sind.</w:t>
      </w:r>
    </w:p>
    <w:p>
      <w:r>
        <w:t>Das Gericht erkennt:</w:t>
      </w:r>
    </w:p>
    <w:p>
      <w:r>
        <w:t>1.Â Â Â Â Â Â Â Â  Die Beschwerde wird in dem Sinne gutgeheissen, dass die angefochtene VerfÃ¼gung vom 29. Juni 2007 aufgehoben und die Sache an die Sozialversicherungsanstalt des Kantons ZÃ¼rich, IV-Stelle, zurÃ¼ckgewiesen wird, damit sie im Sinne der ErwÃ¤gungen verfahre und anschliessend neu verfÃ¼ge.</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Sozialversicherungsanstalt des Kantons ZÃ¼rich, IV-Stelle</w:t>
      </w:r>
    </w:p>
    <w:p>
      <w:r>
        <w:t>- Stadt A.___</w:t>
      </w:r>
    </w:p>
    <w:p>
      <w:r>
        <w:t>- Bundesamt fÃ¼r Sozialversicherungen</w:t>
      </w:r>
    </w:p>
    <w:p>
      <w:r>
        <w:t>sowie an:</w:t>
      </w:r>
    </w:p>
    <w:p>
      <w:r>
        <w:t>- die Gerichtskasse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