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IV.2007.00922 vom 15. Januar 2008</w:t>
      </w:r>
    </w:p>
    <w:p>
      <w:r>
        <w:t>ZH Sozialversicherungsgericht, 2008-01-15, DE</w:t>
      </w:r>
    </w:p>
    <w:p>
      <w:r>
        <w:rPr>
          <w:b/>
        </w:rPr>
        <w:t xml:space="preserve">Quelle: </w:t>
      </w:r>
      <w:r>
        <w:t>https://mcp.opencaselaw.ch/entscheid/zh_sozialversicherungsgericht_IV.2007.00922</w:t>
      </w:r>
    </w:p>
    <w:p>
      <w:r>
        <w:t>FR: ZH_SOZIALVERSICHERUNGSGERICHT IV.2007.00922 du 15 janvier 2008</w:t>
      </w:r>
    </w:p>
    <w:p>
      <w:r>
        <w:t>IT: ZH_SOZIALVERSICHERUNGSGERICHT IV.2007.00922 del 15 gennaio 2008</w:t>
      </w:r>
    </w:p>
    <w:p>
      <w:pPr>
        <w:pStyle w:val="Heading2"/>
      </w:pPr>
      <w:r>
        <w:t>Erwägungen</w:t>
      </w:r>
    </w:p>
    <w:p>
      <w:r>
        <w:rPr>
          <w:b/>
        </w:rPr>
        <w:t>E. 1</w:t>
      </w:r>
    </w:p>
    <w:p>
      <w:r>
        <w:t>1.1Â Â Â Â  Nach der Rechtsprechung stellt das Sozialversicherungsgericht bei der Beurteilung einer Streitsache in der Regel auf den bis zum Zeitpunkt des Erlasses der streitigen VerfÃ¼gung (hier: 24. Mai 2007; vgl. Urk. 2) eingetretenen Sachverhalt ab (BGE 129 V 4 Erw. 1.2 mit Hinweis). Ferner wird bei der PrÃ¼fung des Anspruchs auf eine Invalidenrente, der schon vor dem Inkrafttreten des ATSG am 1. Januar 2003 entstanden ist, das anwendbare Recht nach den allgemeinen intertemporalrechtlichen Regeln ermittelt. Danach sind in zeitlicher Hinsicht grundsÃ¤tzlich diejenigen RechtssÃ¤tze massgebend, die bei der ErfÃ¼llung des zu Rechtsfolgen fÃ¼hrenden Tatbestandes Geltung hatten (BGE 130 V 259 Erw. 3.5, BGE 130 V 333 Erw. 2.3, BGE 130 V 425 Erw. 1.1, BGE 130 V 447 Erw. 1.2.1, je mit weiteren Hinweisen).</w:t>
      </w:r>
    </w:p>
    <w:p>
      <w:r>
        <w:t>Â Â Â Â Â Â Â Â  Bei der Beurteilung des geltend gemachten Anspruchs sind demzufolge die bis 31. Dezember 2002 gÃ¼ltig gewesenen Vorschriften sowie die auf den 1. Januar 2003 in Kraft getretenen Normen des ATSG und dessen AusfÃ¼hrungsverordnung sowie - ab diesem Zeitpunkt - die per 1. Januar 2004 in Kraft getretenen Ãnderungen des Bundesgesetzes Ã¼ber die Invalidenversicherung (IVG) vom 21. MÃ¤rz 2003 und der Verordnung Ã¼ber die Invalidenversicherung (IVV) vom 21. MÃ¤rz 2003 (4. IV-Revision) samt der damit einhergehenden Anpassungen des ATSG anwendbar (BGE 130 V 445 Erw. 1 mit Hinweisen).</w:t>
      </w:r>
    </w:p>
    <w:p>
      <w:r>
        <w:t>Â Â Â Â Â Â Â Â  Weiter ist darauf hinzuweisen, dass die von der Rechtsprechung vor Inkrafttreten des ATSG zu den Begriffen der ArbeitsunfÃ¤higkeit, der ErwerbsunfÃ¤higkeit und der InvaliditÃ¤t sowie zur Bestimmung des InvaliditÃ¤tsgrades herausgebildeten GrundsÃ¤tze unter der Herrschaft des ATSG prinzipiell weiterhin Geltung haben (vgl. BGE 130 V 352 Erw. 3.6) und auch durch die 4. IV-Revision keine wesentliche Ãnderung erfahren haben. Gleiches gilt fÃ¼r die Voraussetzungen einer ErhÃ¶hung, Herabsetzung oder Aufhebung laufender Invalidenrenten im Sinne von Art. 17 ATSG (Kieser, ATSG-Kommentar, Art. 17 Rz 1 und 7 f.). Bei der Festsetzung der InvaliditÃ¤t von ErwerbstÃ¤tigen nach Inkrafttreten des ATSG und der 4. IV-Revision ist zudem weiterhin die allgemeine Methode des Einkommensvergleichs anzuwenden (Urteil des EidgenÃ¶ssischen Versicherungsgerichts in Sachen S. vom 16. Februar 2005, I 568/04, Erw. 2.2).</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Mit Mitteilung vom 4. Februar 2002 (Urk. 12/23) wurde ein Anspruch des BeschwerdefÃ¼hrers auf eine ganze Rente rechtskrÃ¤ftig bejaht. Die Beschwerdegegnerin gelangte damals in medizinischer Hinsicht zum Ergebnis, der Gesundheitszustand des BeschwerdefÃ¼hrers sei unverÃ¤ndert, und es bestehe weiterhin eine 100%ige ArbeitsunfÃ¤higkeit in der freien Wirtschaft (Urk. 12/22).</w:t>
      </w:r>
    </w:p>
    <w:p>
      <w:r>
        <w:t>3.2Â Â Â Â  Die Beschwerdegegnerin stellte zur Feststellung der ArbeitsfÃ¤higkeit des BeschwerdefÃ¼hrers beim Erlass der Mitteilung vom 4. Februar 2002 (Urk. 12/23) auf den Arztbericht von Dr. med. C.___, Innere Medizin FMH, vom 30. Januar 2002 ab (vgl. Urk. 12/21). Dr. C.___ diagnostizierte eine seit 17. November 1998 bestehende chronische Alkoholkrankheit mit AbhÃ¤ngigkeit vom Typ des Pegeltrinkens und sporadischen Alkoholexzessen sowie eine chronische Depression und einen Medikamentenmissbrauch (Schlafmittel/Antidepressiva; Urk. 12/21 lit. A), und hielt fest, der Gesundheitszustand sei stationÃ¤r (Urk. 12/21 lit. C Ziff. 1). Der BeschwerdefÃ¼hrer sei in einer psychisch schlechten Verfassung mit SchlafstÃ¶rungen und vermehrtem Alkoholkonsum (Urk. 12/21 lit. D Ziff. 4).</w:t>
      </w:r>
    </w:p>
    <w:p>
      <w:r>
        <w:t>3.3Â Â Â Â  Auf diese verbindlichen Feststellungen der Beschwerdegegnerin zum Gesundheitszustand des BeschwerdefÃ¼hrers im Vergleichszeitpunkt vom 4. Februar 2002 ist vorliegend abzustellen. Demnach ist davon auszugehen, dass der BeschwerdefÃ¼hrer am 4. Februar 2002 an gesundheitlichen BeeintrÃ¤chtigungen infolge einer chronischen Alkoholkrankheit und in psychischer Hinsicht an einer chronischen Depression litt und seine ArbeitsfÃ¤higkeit massgeblich beeintrÃ¤chtigt war. Dem BeschwerdefÃ¼hrer war daher die AusÃ¼bung weder seiner bisherigen noch einer behinderungsangepassten TÃ¤tigkeit zuzumuten.</w:t>
      </w:r>
    </w:p>
    <w:p>
      <w:r>
        <w:rPr>
          <w:b/>
        </w:rPr>
        <w:t>E. 4</w:t>
      </w:r>
    </w:p>
    <w:p>
      <w:r>
        <w:t>4.1Â Â Â Â  Dr. med. D.___, Oberarzt, und med. pract. E.___, AssistenzÃ¤rztin, Psychiatrie-Zentrum F.___, nannten in ihrem Bericht vom 4. April 2006 (Urk. 12/36) folgende Diagnosen (Urk. 12/36 lit. A):</w:t>
      </w:r>
    </w:p>
    <w:p>
      <w:r>
        <w:t>- Verdacht auf Exazerbation der bekannten paranoiden Schizophrenie F20.0</w:t>
      </w:r>
    </w:p>
    <w:p>
      <w:r>
        <w:t>- StÃ¶rung durch multiplen Substanzgebrauch F10.2 (Alkohol, Kokain, Benzodiazepinen [BZ])</w:t>
      </w:r>
    </w:p>
    <w:p>
      <w:r>
        <w:t>- Zustand nach WirbelsÃ¤ulen-(WS-)Trauma 1984 mit Fraktur ventrale Vorderkante LendenwirbelkÃ¶rper (LWK) 4, reaktive Arthrose LWK 3, 4</w:t>
      </w:r>
    </w:p>
    <w:p>
      <w:r>
        <w:t>Â Â Â Â Â Â Â Â  Als Diagnosen ohne Auswirkungen auf die ArbeitsfÃ¤higkeit nannten sie eine Penicillin-Allergie und eine VoltarenunvertrÃ¤glichkeit (Urk. 12/36 lit. A).</w:t>
      </w:r>
    </w:p>
    <w:p>
      <w:r>
        <w:t>Â Â Â Â Â Â Â Â  Der BeschwerdefÃ¼hrer sei Berufsmusiker, wobei unklar sei, wann er diesen Beruf zuletzt ausgeÃ¼bt habe. Bis 2004 habe er einen geschÃ¼tzten Arbeitsplatz in der WerkstÃ¤tte ÂDrahtzugÂ gehabt (Urk. 12/36 lit. B).</w:t>
      </w:r>
    </w:p>
    <w:p>
      <w:r>
        <w:t>Â Â Â Â Â Â Â Â  Aufgrund der langjÃ¤hrigen chronifizierten schizophrenen Erkrankung und des rezidivierenden multiplen Substanzmissbrauchs (Alkohol, Kokain, Benzodiazepine) sei die Prognose eher zurÃ¼ckhaltend zu sehen (Urk. 12/36 lit. D Ziff. 7).</w:t>
      </w:r>
    </w:p>
    <w:p>
      <w:r>
        <w:t>Â Â Â Â Â Â Â Â  Dem BeschwerdefÃ¼hrer sei weder die bisherige BerufstÃ¤tigkeit noch eine der Behinderung angepasste TÃ¤tigkeit zuzumuten (Urk. 12/36 S. 5).</w:t>
      </w:r>
    </w:p>
    <w:p>
      <w:r>
        <w:t>4.2Â Â Â Â  Das im Auftrag der Beschwerdegegnerin von Dr. B.___ erstellte psychiatrische Gutachten vom 3. Februar 2007 (Urk. 12/42) basierte auf einer Untersuchung vom 30. Januar 2007 (Urk. 12/42 S. 1). Im Gutachten wurden zuerst die beigezogenen Akten (Urk. 12/42 S. 1-3) und die HereditÃ¤t beziehungsweise persÃ¶nliche Anamnese (Urk. 12/42 S. 3-4) wiedergegeben. Schliesslich wurden die jetzige Krankheit (Urk. 12/42 S. 4) und die erhobenen Befunde referiert (Urk. 12/42 S. 4-5).</w:t>
      </w:r>
    </w:p>
    <w:p>
      <w:r>
        <w:t>Â Â Â Â Â Â Â Â</w:t>
      </w:r>
    </w:p>
    <w:p>
      <w:r>
        <w:t>Â Â Â Â Â Â Â Â  Dr. B.___ nannte folgende Diagnosen (Urk. 12/42 S. 5):</w:t>
      </w:r>
    </w:p>
    <w:p>
      <w:r>
        <w:t>- Rezidivierende depressive StÃ¶rung gegenwÃ¤rtig beinahe remittiert, anamnestisch jedoch intensitÃ¤tsmÃ¤ssig schwankend (F33.4 ICD-10)</w:t>
      </w:r>
    </w:p>
    <w:p>
      <w:r>
        <w:t>- Paranoide Schizophrenie anamnestisch, gegenwÃ¤rtig keine Symptome dafÃ¼r (F20.0 ICD-10)</w:t>
      </w:r>
    </w:p>
    <w:p>
      <w:r>
        <w:t>- Anamnestisch Alkohol-, Drogen- (Kokain) und Benzodiazepinabusus gegenwÃ¤rtig unregelmÃ¤ssiger Konsum von Bier (F10.26 ICD-10)</w:t>
      </w:r>
    </w:p>
    <w:p>
      <w:r>
        <w:t>Â Â Â Â Â Â Â Â  GegenwÃ¤rtig stehe der BeschwerdefÃ¼hrer in Behandlung und bekomme Antidepressiva, ein Neuroleptikum, Tranquilizer und Schlafmittel. Unter dieser Therapie scheine sich der Zustand stabilisiert zu haben. Die depressive StÃ¶rung sei nicht mehr deutlich ausgeprÃ¤gt. Anzeichen fÃ¼r eine schizophrene StÃ¶rung fehlten; die einzelnen Stimmen (Rufe, die man nicht verstehe) seien isoliert nur schwer als Anzeichen einer Schizophrenie zu interpretieren. GegenwÃ¤rtig gÃ¤be es auch keine sicheren Anzeichen fÃ¼r eine Polytoxikomanie, also keine toxische WesensverÃ¤nderung. Der BeschwerdefÃ¼hrer vertrage die Medikation gut, und diese zeige keine negativen Auswirkungen auf sein Verhalten. Auf alle FÃ¤lle habe sie eine gute Auswirkung auf seinen psychischen Zustand (Urk. 12/42 S. 6).</w:t>
      </w:r>
    </w:p>
    <w:p>
      <w:r>
        <w:t>Â Â Â Â Â Â Â Â  Der gegenwÃ¤rtige psychische Zustand kÃ¶nne als zufriedenstellend betrachtet werden. In Kenntnis der Anamnese und der grossen InstabilitÃ¤t in der Vergangenheit mÃ¼sse man sich prognostisch jedoch vorsichtig Ã¤ussern. Der BeschwerdefÃ¼hrer habe auch in der Vergangenheit gute Phasen von unterschiedlich langer Dauer mit RÃ¼ckfÃ¤llen, depressiven Dekompensierungen und paranoiden Reaktionen gehabt. Sollte die gegenwÃ¤rtige Therapie konsequent durchgefÃ¼hrt werden, kÃ¶nne man von einer guten Prognose ausgehen (Urk. 12/42 S. 6).</w:t>
      </w:r>
    </w:p>
    <w:p>
      <w:r>
        <w:t>Â Â Â Â Â Â Â Â  Im gegenwÃ¤rtigen psychischen Zustand sei dem BeschwerdefÃ¼hrer zumutbar, eine TÃ¤tigkeit in der freien Wirtschaft auszuÃ¼ben, vorerst hÃ¶chstens im Umfang von 50 %. Dabei solle es sich um eine Arbeit handeln, die kÃ¶rperlich nicht Ã¼berfordere, weil der BeschwerdefÃ¼hrer keine Kondition habe, etwas Abwechslung bringe, also keine monotonen, repetitiven Arbeiten, in kleinem, aber tragfÃ¤higem Team und verstÃ¤ndnisvollen Arbeitgebern. Unter diesen UmstÃ¤nden kÃ¶nnte mit der Zeit mit einer Erweiterung des Arbeitseinsatzes gerechnet werden (Urk. 12/42 S. 6).</w:t>
      </w:r>
    </w:p>
    <w:p>
      <w:r>
        <w:rPr>
          <w:b/>
        </w:rPr>
        <w:t>E. 5</w:t>
      </w:r>
    </w:p>
    <w:p>
      <w:r>
        <w:t>5.1Â Â Â Â  Der BeschwerdefÃ¼hrer rÃ¼gte, Dr. B.___ habe ihn nicht in seiner Muttersprache und ohne Erhebung einer Anamnese, aufgrund einer Untersuchung, welche nur eine bis zwei Stunden gedauert habe, begutachtet. Dieses Vorgehen widerspreche den fÃ¼r die Begutachtung erarbeiteten QualitÃ¤tsrichtlinien der Schweizerischen Gesellschaft fÃ¼r Versicherungspsychiatrie (Urk. 1 S. 5 f.).</w:t>
      </w:r>
    </w:p>
    <w:p>
      <w:r>
        <w:t>5.1.1Â Â  Die Leitlinien der Schweizerischen Gesellschaft fÃ¼r Versicherungspsychiatrie fÃ¼r die Begutachtung psychischer StÃ¶rungen (publiziert als Anhang 8 bei Meyer-Blaser, Der Rechtsbegriff der ArbeitsunfÃ¤higkeit und seine Bedeutung in der Sozialversicherung, in: Schmerz und ArbeitsunfÃ¤higkeit, St. Gallen 2003, S. 111 ff.) stellen blosse Handlungsempfehlungen dar und haben keinen rechtlich verbindlichen Charakter. Daher ist ein psychiatrisches Gutachten nicht schon dann als unzulÃ¤nglich zu betrachten, wenn der SachverstÃ¤ndige von diesen Leitlinien abweicht (vgl. Urteil des EidgenÃ¶ssischen Versicherungsgerichts, EVG, in Sachen S. vom 13. Juni 2006, I 58/2006, Erw. 2.1).</w:t>
      </w:r>
    </w:p>
    <w:p>
      <w:r>
        <w:t>5.1.2Â Â  Weder aus dem verfassungsmÃ¤ssigen Anspruch auf rechtliches GehÃ¶r (Art. 29 Abs. 2 der Bundesverfassung, BV) noch aus dessen Konkretisierung fÃ¼r das AbklÃ¤rungsverfahren der kantonalen IV-Stellen in Art. 42 und 52 ATSG lÃ¤sst sich ein Anspruch auf DurchfÃ¼hrung einer medizinischen AbklÃ¤rungsmassnahme in der Muttersprache des Versicherten oder unter Beizug eines Ãbersetzers ableiten. Unter Vorbehalt des verfassungsrechtlichen Diskriminierungsverbotes (Art. 8 Abs. 2 BV) und des durch die Bundesverfassung (Art. 18 sowie Art. 70 Abs. 1 und 2 BV) garantierten Schutzes der von den Kantonen bestimmten, einem Versicherten gelÃ¤ufigen Amtssprache (vgl. BGE 127 V 225 f. Erw. 2b) ist es vielmehr eine Frage der BeweiswÃ¼rdigung nach den hiefÃ¼r von der Rechtsprechung fÃ¼r Ã¤rztliche Gutachten und Berichte entwickelten Kriterien (BGE 125 V 352 ff. Erw. 3, 122 V 160 f. Erw. 1c), ob aus einer medizinischen AbklÃ¤rung, welche nicht in der Muttersprache des Exploranden und ohne Dolmetscher durchgefÃ¼hrt worden ist, ein beweiskrÃ¤ftiges und verwertbares Beweismittel resultiert oder nicht (AHI 2004 S. 146 f. Erw. 4.2 [Urteil I. vom 30. Dezember 2003, I 245/00]). Der beauftragte medizinische Gutachter entscheidet im Rahmen sorgfÃ¤ltiger AuftragserfÃ¼llung nach pflichtgemÃ¤ssem Ermessen darÃ¼ber, ob er den Beizug eines Dolmetschers fÃ¼r notwendig erachtet oder nicht. Dazu gehÃ¶rt auch die Wahl des Dolmetschers sowie die Frage, ob allenfalls bestimmte Teile der medizinischen AbklÃ¤rung in dessen Abwesenheit durchzufÃ¼hren sind (AHI 2004 S. 147 Erw. 4.2.1 [Urteil I. vom 30. Dezember 2003, I 245/00]). Bei psychiatrischen AbklÃ¤rungen kommt allerdings der bestmÃ¶glichen VerstÃ¤ndigung zwischen Experte und versicherter Person besonderes Gewicht zu (Urteile P. vom 2. Mai 2005, I 715/04, Erw. 3.1, M. vom 28. Februar 2005, I 380/04, Erw. 1.2 und L. vom 25. Juli 2003, I 642/01 Erw. 3.1). Dasselbe gilt freilich auch fÃ¼r die SpontaneitÃ¤t, den Tonfall und die nonverbalen Ãusserungen (z.B. Mimik), mit denen sich ein Explorand anlÃ¤sslich einer psychiatrischen Untersuchung ausdrÃ¼ckt (Urteil des EidgenÃ¶ssischen Versicherungsgerichts in Sachen G. vom 26. April 2006, I 28/2006, Erw. 3.1).</w:t>
      </w:r>
    </w:p>
    <w:p>
      <w:r>
        <w:t>Â Â Â Â Â Â Â Â  Dem BeschwerdefÃ¼hrer beziehungsweise dessen Vormund wurde mit Schreiben der Beschwerdegegnerin vom 14. September 2006 (Urk. 12/38) die vorgesehene Begutachtung durch Dr. B.___ angekÃ¼ndigt. Der seit August 1980, mithin im Zeitpunkt der Begutachtung mehr als 26 Jahre, in der Schweiz wohnhafte BeschwerdefÃ¼hrer (Urk. 12/1 Ziff. 4.1, Urk. 12/2) wies im Vorfeld der AbklÃ¤rungen nicht auf allfÃ¤llige VerstÃ¤ndigungsprobleme hin, die eines seiner Muttersprache kundigen Spezialarztes beziehungsweise Ãbersetzers bedurft hÃ¤tten. Ausserdem war er gemÃ¤ss eigenen Angaben in der Lage, wÃ¤hrend mehreren Jahren einer ErwerbstÃ¤tigkeit nachzugehen (Urk. 12/34, Urk. 12/42 S. 3 f.), weshalb unwahrscheinlich erscheint, dass er Deutsch nicht versteht. Trotz allenfalls mangelhafter Deutschkenntnisse ist davon auszugehen, dass offenbar eine ausreichende VerstÃ¤ndigung mÃ¶glich war. So sind im Gutachten keine Hinweise auf sprachlich bedingte Kommunikationserschwernisse zu finden. Vielmehr hielt Dr. B.___ fest, der BeschwerdefÃ¼hrer spreche gut Deutsch (Dialekt) und habe keine Probleme, sich auszudrÃ¼cken und seine Anliegen zu formulieren (Urk. 12/42 S. 4 unten). Ebenso wenig finden sich im Gutachten Anhaltspunkte, dass Dr. B.___ wegen VerstÃ¤ndigungsschwierigkeiten Fragen offen lassen musste oder hinsichtlich der Befunde sowie Schlussfolgerungen Unsicherheiten bestanden. Der BeschwerdefÃ¼hrer legt denn auch mit der - erstmals in der Beschwerde vorgebrachten - RÃ¼ge, die Begutachtung hÃ¤tte in der Muttersprache erfolgen mÃ¼ssen, nicht dar, inwiefern ihn Dr. B.___ missverstanden haben soll. Demzufolge fehlt es an einem stichhaltigen Grund, der die Beweiskraft des von Dr. B.___ erstatteten Gutachtens zufolge sprachlicher Barrieren in Fragen stellen kÃ¶nnte.</w:t>
      </w:r>
    </w:p>
    <w:p>
      <w:r>
        <w:t>Â Â Â Â Â Â Â Â  In diesem Zusammenhang ist zudem auf die Rechtsprechung des EVG hinzuweisen, wonach es grundsÃ¤tzlich Sache des Versicherten ist, rechtzeitig einen Antrag bei der Verwaltung oder allenfalls beim Gericht zu stellen, die DurchfÃ¼hrung medizinischer AbklÃ¤rungen habe in seiner Muttersprache zu erfolgen (I 58/2006 Erw. 2.4 mit Hinweisen).</w:t>
      </w:r>
    </w:p>
    <w:p>
      <w:r>
        <w:t>5.1.3Â Â  Entgegen der Ansicht des BeschwerdefÃ¼hrers (Urk. 1 S. 5) ist die unter dem Titel ÂHereditÃ¤t/persÃ¶nliche AnamneseÂ durch Dr. B.___ erstellte Anamnese genÃ¼gend umfassend. Insbesondere sind die wichtigsten Lebensdaten, Informationen Ã¼ber die Herkunftsfamilie und die Eltern, Ã¼ber den schulischen und beruflichen Werdegang sowie die soziale Entwicklung dargestellt. Dr. B.___ konnte Ã¼berdies auf medizinische Unterlagen, insbesondere den Bericht von Dr. D.___ und med. pract. E.___ vom 4. April 2006 (Urk. 12/36), zurÃ¼ckgreifen. Nachdem die subjektiven Angaben des BeschwerdefÃ¼hrers stets kohÃ¤rent waren (Urk. 12/5 Ziff. 4.1, Urk. 12/7 Ziff. 4.1, Urk. 12/12 Ziff. 3, Urk. 12/36 Ziff. 3), drÃ¤ngten sich weitere, beispielsweise fremdanamnestische, AbklÃ¤rungen (insbesondere Befragung von AngehÃ¶rigen) nicht auf. Somit ist das Gutachten auch in dieser Hinsicht klar und nachvollziehbar.</w:t>
      </w:r>
    </w:p>
    <w:p>
      <w:r>
        <w:t>5.1.4Â Â  Der Zeitaufwand fÃ¼r eine psychiatrische Untersuchung schwankt in weiten Grenzen, je nach Fragestellung und zu beurteilender Psychopathologie. Die Diagnose einer Demenz oder einer akuten schizophrenen Psychose ist bei deutlicher AusprÃ¤gung der Symptomatik hÃ¤ufig rasch mÃ¶glich, wÃ¤hrend ein sehr hoher Zeitaufwand erforderlich sein kann, um den Verdacht auf eine Simulation einer psychischen StÃ¶rung zu klÃ¤ren, eine schwierige PersÃ¶nlichkeitspathologie zu erhellen oder problematische Zusammenhangsfragen zwischen traumatischen Ã¤usseren Ereignissen und nachfolgender psychischer Symptomatik zu erÃ¶rtern. Daher lÃ¤sst sich ein genereller Zeitrahmen fÃ¼r eine Untersuchung nicht verbindlich angeben (Klaus Foerster/Peter Winckler, Forensich-psychiatrische Untersuchung, in: Venzlaff/Foerster, Hrsg., Psychiatrische Begutachtung, MÃ¼nchen 2004, 4. Aufl., S. 18).</w:t>
      </w:r>
    </w:p>
    <w:p>
      <w:r>
        <w:t>Â Â Â Â Â Â Â Â  Die anlÃ¤sslich der Exploration des BeschwerdefÃ¼hrers durch Dr. B.___ erhobenen Befunde lassen den Schluss zu, dass weder eine posttraumatische BelastungsstÃ¶rung noch schwere depressive Verstimmungen vorlagen. Bei dieser Ausgangslage liess sich die psychiatrische Begutachtung durch Dr. B.___ im Umfang von einer bis zwei Stunden verantworten.</w:t>
      </w:r>
    </w:p>
    <w:p>
      <w:r>
        <w:t>5.1.5Â Â  Nach dem Gesagten erweist sich das im Rahmen des Verwaltungsverfahrens eingeholte Gutachten von Dr. B.___ vom 3. Februar 2007 (Urk. 12/42) nicht als mangelhaft. Es ist fÃ¼r die streitigen Belange umfassend, beruht auf allseitigen Untersuchungen, berÃ¼cksichtigt die geklagten Beschwerden, ist in Kenntnis der Vorakten abgegeben worden und leuchtet in der Darlegung der medizinischen ZusammenhÃ¤nge und in der Beurteilung der medizinischen Situation ein; die Schlussfolgerungen sind nachvollziehbar begrÃ¼ndet. Das Gutachten erfÃ¼llt in diesem Umfang somit die praxisgemÃ¤ssen Kriterien fÃ¼r beweiskrÃ¤ftige Ã¤rztliche Entscheidungsgrundlagen (vgl. vorstehend Erw. 1.6), weshalb den darin enthaltenen AusfÃ¼hrungen voller Beweiswert zukommt.</w:t>
      </w:r>
    </w:p>
    <w:p>
      <w:r>
        <w:t>5.2Â Â Â Â  In psychischer Hinsicht steht aufgrund der medizinischen Akten, insbesondere des Gutachtens von Dr. B.___ vom 3. Februar 2007 (Urk. 12/42), fest, dass der BeschwerdefÃ¼hrer an einer rezidivierenden depressiven StÃ¶rung (F33.4 ICD-10) leidet (Urk. 12/5 Ziff. 3, Urk. 12/7 Ziff. 3, Urk. 12/12 Ziff. 2, Urk. 12/21 lit. A, Urk. 12/42 S. 5), welche ihn in der ArbeitsfÃ¤higkeit beeintrÃ¤chtigt. Die Befunde sind allerdings nicht schwerer Natur und hindern ihn nach gutachterlicher Auffassung nicht daran, eine der Behinderung angepasste TÃ¤tigkeit im Umfang von 50 % zu verrichten.</w:t>
      </w:r>
    </w:p>
    <w:p>
      <w:r>
        <w:t>Â Â Â Â Â Â Â Â  Die Ã¤rztliche EinschÃ¤tzung der RestarbeitsfÃ¤higkeit hat zum einen das in funktioneller Hinsicht zumutbare Leistungsprofil zu umschreiben und zum andern allfÃ¤lligen zeitlichen oder sonstigen Limitierungen innerhalb der betreffenden, leidensangepassten TÃ¤tigkeit Rechnung zu tragen. Dies geschieht im Gutachten des Dr. B.___ in nachvollziehbarer und einleuchtender Weise, indem das unter BerÃ¼cksichtigung sÃ¤mtlicher Leiden aus medizinisch-theoretischer Sicht zumutbare TÃ¤tigkeitsfeld prÃ¤zise umschrieben wird (Erw. 4.2 hievor) und die nur beschrÃ¤nkte Belastbarkeit des BeschwerdefÃ¼hrers den Arzt zur Anerkennung einer 50 %igen Leistungseinbusse fÃ¼hrt. Dagegen entbehrt die von Dr. D.___ und med. pract. E.___ fÃ¼r den fraglichen Zeitraum attestierte volle ArbeitsunfÃ¤higkeit einer Ã¼berzeugenden BegrÃ¼ndung.</w:t>
      </w:r>
    </w:p>
    <w:p>
      <w:r>
        <w:t>Â Â Â Â Â Â Â Â  Insbesondere erfuhr der Gesundheitszustand des BeschwerdefÃ¼hrers dank der aktuellen Medikation, die wÃ¤hrend des stationÃ¤ren Aufenthalts des BeschwerdefÃ¼hrers im Psychiatrie-Zentrum F.___ eingestellt wurde (Urk. 12/36 Ziff. 3, Ziff. 7, Urk. 12/42 S. 4), eine wesentliche Besserung. Angesichts dessen, dass sich eine Besserung des psychischen Zustands bereits wÃ¤hrend des Aufenthalts im Psychiatrie-Zentrum F.___ abzeichnete, erscheint die zehn Monate spÃ¤ter erfolgte gutachterliche Schlussfolgerung, wonach sich der Gesundheitszustand unter dieser medikamentÃ¶sen Therapie stabilisiert habe, nachdem die depressive StÃ¶rung nicht mehr deutlich ausgeprÃ¤gt sei und Anzeichen fÃ¼r eine schizophrene StÃ¶rung fehlten, nachvollziehbar begrÃ¼ndet. Folglich ist davon auszugehen, dass gegenwÃ¤rtig keine Symptome fÃ¼r eine paranoide Schizophrenie (F20.0 ICD-10) vorliegen und die depressive StÃ¶rung beinahe remittiert ist. Dasselbe gilt fÃ¼r den Alkohol-, Drogen- und Benzodiazepinabusus (F10.26 ICD-10), gibt es doch laut Dr. B.___, mit Ausnahme des unregelmÃ¤ssigen Konsums von Bier, gegenwÃ¤rtig keine sicheren Anzeichen fÃ¼r eine Polytoxikomanie, was insofern mit den AusfÃ¼hrungen von Dr. D.___ und med. pract. E.___ Ã¼bereinstimmt, als der BeschwerdefÃ¼hrer bereits im Verlauf der ersten Tage des stationÃ¤ren Aufenthalts im Psychiatrie-Zentrum F.___ keine psychovegetative Entzugsproblematik bezÃ¼glich Alkohol gezeigt habe (Urk. 12/36 lit. D Ziff. 7).</w:t>
      </w:r>
    </w:p>
    <w:p>
      <w:r>
        <w:t>5.3Â Â Â Â  Zusammenfassend ist festzuhalten, dass die Schlussfolgerungen im Gutachten von Dr. B.___ durch keine anderslautenden EinschÃ¤tzungen ernsthaft in Frage gestellt werden, so dass sie als einleuchtend und Ã¼berzeugend zu werten sind. Massgebend ist somit die Feststellung im Gutachten von Dr. B.___, wonach die ArbeitsfÃ¤higkeit des BeschwerdefÃ¼hrers in einer TÃ¤tigkeit, die kÃ¶rperlich nicht Ã¼berfordert, ohne monotonen repetitiven Arbeiten, in einem kleinen und tragfÃ¤higen Team sowie einem verstÃ¤ndnisvollen Arbeitgeber 50 % betrÃ¤gt.</w:t>
      </w:r>
    </w:p>
    <w:p>
      <w:r>
        <w:t>Â Â Â Â Â Â Â Â  Im Zeitraum zwischen dem 4. Februar 2002 und dem 24. Mai 2007 hat sich das Krankheitsbild des BeschwerdefÃ¼hrers in psychischer Hinsicht wesentlich verbessert, und es besteht aufgrund des aktuellen Gutachtens eine deutlich verbesserte ArbeitsfÃ¤higkeit im oben ausgefÃ¼hrten Umfang.</w:t>
      </w:r>
    </w:p>
    <w:p>
      <w:r>
        <w:rPr>
          <w:b/>
        </w:rPr>
        <w:t>E. 6</w:t>
      </w:r>
    </w:p>
    <w:p>
      <w:r>
        <w:t>6.1Â Â Â Â  Zu prÃ¼fen bleibt, ob sich der InvaliditÃ¤tsgrad aufgrund der nachgewiesenen Verbesserung des Gesundheitszustandes ab Juli 2007 verÃ¤ndert hat. Die Beschwerdegegnerin hat ab Juli 2007 einen InvaliditÃ¤tsgrad von 57 % errechnet (Urk. 2).</w:t>
      </w:r>
    </w:p>
    <w:p>
      <w:r>
        <w:t>6.2Â Â Â Â  Da der BeschwerdefÃ¼hrer seine letzte Arbeitsstelle vor zirka zehn Jahren inne hatte und seit 1998 arbeitslos ist (Urk. 12/6 Ziff. 1-2, Urk. 12/34), hat die Beschwerdegegnerin das Valideneinkommen zu Recht anhand der TabellenlÃ¶hne der Schweizerischen Lohnstrukturerhebung (LSE) festgesetzt. Denn der BeschwerdefÃ¼hrer wÃ¤re auch im Gesundheitsfall nicht mehr am angestammten Arbeitsplatz tÃ¤tig, so dass schon deshalb nicht auf den zuletzt erzielten Lohn abgestellt werden kann und in der Folge statistische Zahlen die Grundlage des Valideneinkommens bilden mÃ¼ssen; dabei ist auf den - den ganzen Arbeitsmarkt umfassenden und deshalb hier massgebenden - Zentralwert im Anforderungsniveau 4 (einfache und repetitive Arbeiten) abzustellen. Da der Versicherte im Weiteren keine zumutbare VerweisungstÃ¤tigkeit aufgenommen hat, ist fÃ¼r die zahlenmÃ¤ssige Bestimmung des Invalideneinkommens praxisgemÃ¤ss ebenfalls auf die TabellenlÃ¶hne der Schweizerischen Lohnstrukturerhebung abzustellen (vgl. BGE 126 V 76 Erw. 3b/bb). Weil Validen- und Invalideneinkommen aufgrund des gleichen Tabellenlohnes festzusetzen sind, erÃ¼brigt sich deren genaue Ermittlung; der InvaliditÃ¤tsgrad entspricht dem Grad der ArbeitsunfÃ¤higkeit unter BerÃ¼cksichtigung eines allfÃ¤lligen Abzuges (Urteil des EidgenÃ¶ssischen Versicherungsgerichts in Sachen V. vom 8. November 2005, I 358/2005, Erw. 2.4 mit Hinweis).</w:t>
      </w:r>
    </w:p>
    <w:p>
      <w:r>
        <w:t>Â Â Â Â Â Â Â Â  Das von der Beschwerdegegnerin gestÃ¼tzt auf die Angaben der Schweizerischen Lohnstrukturerhebung (LSE) berechnete Valideneinkommen, wonach der BeschwerdefÃ¼hrer ohne Gesundheitsschaden im Jahr 2005 bei einem Vollzeitpensum unter Anrechnung der NominallohnerhÃ¶hung 2005 von 1,0 % einen Jahreslohn von Fr. 57'831.-- erzielt hÃ¤tte (vgl. Urk. 12/43), ist unbestritten. Davon ist auszugehen.</w:t>
      </w:r>
    </w:p>
    <w:p>
      <w:r>
        <w:t>6.3Â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Die Beschwerdegegnerin begrÃ¼ndete den Abzug vom Tabellenlohn in HÃ¶he von 15 % damit, dass der BeschwerdefÃ¼hrer aufgrund seiner Behinderung in einem kleinen aber tragfÃ¤higen Team und bei einem verstÃ¤ndnisvollen Arbeitgeber arbeiten sollte und deshalb bei der Stellensuche eingeschrÃ¤nkt sei (Urk. 12/44).</w:t>
      </w:r>
    </w:p>
    <w:p>
      <w:r>
        <w:t>Â Â Â Â Â Â Â Â  Vorliegend kann die leidensbedingte EinschrÃ¤nkung zu Lohnnachteilen fÃ¼hren, da der BeschwerdefÃ¼hrer gemÃ¤ss Gutachten von Dr. B.___ vom 3. Februar 2007 (Urk. 12/42) nur fÃ¼r kÃ¶rperlich nicht Ã¼berfordernde TÃ¤tigkeiten ohne monotone repetitive Arbeiten in einem kleinen tragfÃ¤higen Team und bei einem verstÃ¤ndnisvollen Arbeitgeber eingesetzt werden kann, so dass er auf dem Arbeitsmarkt in Konkurrenz mit einem Mitbewerber ohne psychische EinschrÃ¤nkungen benachteiligt ist, was sich auf das Lohnniveau auswirkt (BGE 126 V 82 Erw. 7b). Ferner ist zu berÃ¼cksichtigen, dass Teilzeit arbeitende MÃ¤nner im Vergleich zu gesunden VollzeitbeschÃ¤ftigten proportional weniger verdienen (vgl. LSE 2004 S. 7 Tabelle G 3). Diesen Lohnnachteilen wird mit einem Abzug von insgesamt 15 % vom Tabellenlohn angemessen Rechnung getragen.</w:t>
      </w:r>
    </w:p>
    <w:p>
      <w:r>
        <w:t>Â Â Â Â Â Â Â Â  Es resultiert somit bei TeilzeitbeschÃ¤ftigung im Umfang von 50 % nach Abzug von 15 % des Tabellenlohnes ein hypothetisches Invalideneinkommen von Fr. 24'578.-- (Fr. 57'831.-- x 0,5 x 0,85).</w:t>
      </w:r>
    </w:p>
    <w:p>
      <w:r>
        <w:t>6.4Â Â Â Â  Der Vergleich des hypothetischen Valideneinkommens von Fr. 57'831.-- mit dem hypothetischen Invalideneinkommen von Fr. 24'578.-- ergibt eine Einkommenseinbusse von Fr. 33'253.--, was fÃ¼r die Zeit ab 1. April 2004 einem InvaliditÃ¤tsgrad von gerundet 58 % entspricht.</w:t>
      </w:r>
    </w:p>
    <w:p>
      <w:r>
        <w:t>Â Â Â Â Â Â Â Â  Nach dem Gesagten erweist sich die angefochtene VerfÃ¼gung der Beschwerdegegnerin, mithin die Zusprache einer halben Rente ab 1. Juli 2007 im Ergebnis als rechtens, weshalb die Beschwerde abzuweisen ist.</w:t>
      </w:r>
    </w:p>
    <w:p>
      <w:r>
        <w:rPr>
          <w:b/>
        </w:rPr>
        <w:t>E. 7</w:t>
      </w:r>
    </w:p>
    <w:p>
      <w:r>
        <w:t>7.1Â Â Â Â  GestÃ¼tzt auf Art. 69 Abs. 1 bis IVG in der seit dem 1. Juli 2006 in Kraft stehenden Fassung ist das Verfahren fÃ¼r den unterliegenden BeschwerdefÃ¼hrer kostenpflichtig. Die Kosten sind unter BerÃ¼cksichtigung des gesetzlichen Rahmens (Fr. 200.-- bis Fr. 1'000.--) ermessensweise auf Fr. 700.-- festzusetzen.</w:t>
      </w:r>
    </w:p>
    <w:p>
      <w:r>
        <w:t>7.2Â Â Â Â  In Bewilligung des Gesuchs um unentgeltliche ProzessfÃ¼hrung vom 21. Juni 2007 sind die Gerichtskosten von Fr. 700.-- dem BeschwerdefÃ¼hrer aufzuerlegen, jedoch zufolge GewÃ¤hrung der unentgeltlichen ProzessfÃ¼hrung einstweilen auf die Gerichtskasse zu nehmen.</w:t>
      </w:r>
    </w:p>
    <w:p>
      <w:r>
        <w:t>Das Gericht beschliesst:</w:t>
      </w:r>
    </w:p>
    <w:p>
      <w:r>
        <w:t>Â Â Â Â Â Â Â Â Â Â  Das Gesuch des BeschwerdefÃ¼hrers um GewÃ¤hrung der unentgeltlichen ProzessfÃ¼hrung vom 21. Juni 2007 wird bewilligt.</w:t>
      </w:r>
    </w:p>
    <w:p>
      <w:r>
        <w:t>und erkennt:</w:t>
      </w:r>
    </w:p>
    <w:p>
      <w:r>
        <w:t>1.Â Â Â Â Â Â Â Â  Die Beschwerde wird abgewiesen.</w:t>
      </w:r>
    </w:p>
    <w:p>
      <w:r>
        <w:t>2.Â Â Â Â Â Â Â Â  Die Gerichtskosten von Fr. 700.-- werden dem BeschwerdefÃ¼hrer auferlegt, jedoch zufolge GewÃ¤hrung der unentgeltlichen ProzessfÃ¼hrung einstweilen auf die Gerichtskasse genommen.</w:t>
      </w:r>
    </w:p>
    <w:p>
      <w:r>
        <w:t>3.Â Â Â Â Â Â Â Â  Zustellung gegen Empfangsschein an:</w:t>
      </w:r>
    </w:p>
    <w:p>
      <w:r>
        <w:t>- Sozialversicherungsanstalt des Kantons ZÃ¼rich, IV-Stelle</w:t>
      </w:r>
    </w:p>
    <w:p>
      <w:r>
        <w:t>- Amtsvormundin Susanne Fischer</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