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IV.2007.00887 vom 18. Oktober 2007</w:t>
      </w:r>
    </w:p>
    <w:p>
      <w:r>
        <w:t>ZH Sozialversicherungsgericht, 2007-10-18, DE</w:t>
      </w:r>
    </w:p>
    <w:p>
      <w:r>
        <w:rPr>
          <w:b/>
        </w:rPr>
        <w:t xml:space="preserve">Quelle: </w:t>
      </w:r>
      <w:r>
        <w:t>https://mcp.opencaselaw.ch/entscheid/zh_sozialversicherungsgericht_IV.2007.00887</w:t>
      </w:r>
    </w:p>
    <w:p>
      <w:r>
        <w:t>FR: ZH_SOZIALVERSICHERUNGSGERICHT IV.2007.00887 du 18 octobre 2007</w:t>
      </w:r>
    </w:p>
    <w:p>
      <w:r>
        <w:t>IT: ZH_SOZIALVERSICHERUNGSGERICHT IV.2007.00887 del 18 ottobre 2007</w:t>
      </w:r>
    </w:p>
    <w:p>
      <w:pPr>
        <w:pStyle w:val="Heading2"/>
      </w:pPr>
      <w:r>
        <w:t>Erwägungen</w:t>
      </w:r>
    </w:p>
    <w:p>
      <w:r>
        <w:rPr>
          <w:b/>
        </w:rPr>
        <w:t>E. 2</w:t>
      </w:r>
    </w:p>
    <w:p>
      <w:r>
        <w:t>2.1Â Â Â Â  GemÃ¤ss Art. 69 Abs. 1 der Verordnung Ã¼ber die Invalidenversicherung (IVV) prÃ¼ft die IV-Stelle, nÃ¶tigenfalls unter Mitwirkung der zustÃ¤ndigen Ausgleichskasse, die versicherungsmÃ¤ssigen Voraussetzungen. Wenn diese Voraussetzungen erfÃ¼llt sind, beschafft die IV-Stelle laut Abs. 2 dieser Bestimmung die erforderlichen Unterlagen, insbesondere Ã¼ber den Gesundheitszustand, die TÃ¤tigkeit, die Arbeits- und EingliederungsfÃ¤higkeit der versichertenÂ  Person sowie die ZweckmÃ¤ssigkeit bestimmter Eingliederungsmassnahmen. Zu diesem Zwecke kÃ¶nnen Berichte und AuskÃ¼nfte verlangt, Gutachten eingeholt, AbklÃ¤rungen an Ort und Stelle vorgenommen sowie Spezialisten der Ã¶ffentlichen oder privaten Invalidenhilfe beigezogen werden</w:t>
      </w:r>
    </w:p>
    <w:p>
      <w:r>
        <w:t>2.2Â Â Â Â  Art. 43 des Bundesgesetzes Ã¼ber den Allgemeinen Teil des Sozialversicherungsrechts (ATSG) befasst sich im Wesentlichen mit der AbklÃ¤rungspflicht des VersicherungstrÃ¤gers und der Mitwirkung der Partei. GemÃ¤ss Art. 43 Abs. 3 ATSG kann der VersicherungstrÃ¤ger auf Grund der Akten verfÃ¼gen oder die Erhebungen einstellen und Nichteintreten beschliessen, falls die versicherte Person oder andere Personen, die Leistungen beanspruchen, den Auskunfts- oder Mitwirkungspflichten in unentschuldbarer Weise nicht nachkommen. Diese Personen mÃ¼ssen vorher schriftlich ermahnt und auf die Rechtsfolgen hingewiesen werden und es ist ihnen eine angemessene Bedenkzeit einzurÃ¤umen (vgl. BGE 125 V 195 Erw. 2, 122 V 158 Erw. 1a, 119 V 349 Erw. 1a, 117 V 264 Erw. 3b je mit Hinweisen). Dabei gilt es zu beachten, dass die in Art. 43 statuiert AbklÃ¤rungspflicht dort ihre Grenzen findet, wo anhand der Parteivorbringen und der Aktenlage vorgenommene AbklÃ¤rungen keinen hinreichenden Anlass mehr fÃ¼r weitere Beweismassnahmen bieten (BGE 117 V 282 Erw. 4a, 110 V 52 Erw. 4a).</w:t>
      </w:r>
    </w:p>
    <w:p>
      <w:r>
        <w:t>2.3Â Â Â Â  Verweigern versicherte Personen schuldhaft eine Ã¤rztliche Untersuchung, eine Begutachtung, das Erscheinen vor der IV-Stelle oder AuskÃ¼nfte, so kann die IV-Stelle gemÃ¤ss Art. 73 IVV, unter Ansetzung einer angemessenen Frist und Darlegung der SÃ¤umnisfolgen, aufgrund der Akten beschliessen oder die AbklÃ¤rungen einstellen und Nichteintreten beschliessen.</w:t>
      </w:r>
    </w:p>
    <w:p>
      <w:r>
        <w:t>2.4Â Â Â Â  DemgegenÃ¼ber sind in Art. 21 Abs. 4 ATSG die Rechtsfolgen von Verletzungen der Schadenminderungspflicht geregelt. Danach kÃ¶nnen Versicherungsleistungen vorÃ¼bergehend oder dauernd gekÃ¼rzt oder verweigert werden, wenn sich eine versicherte Person einer zumutbare Behandlung oder Eingliederung ins Erwerbsleben, die eine wesentliche Verbesserung der ErwerbsfÃ¤higkeit oder eine neue ErwerbsmÃ¶glichkeit verspricht, entzieht oder widersetzt oder nicht aus eigenem Antrieb das ihr Zumutbare dazu beitrÃ¤gt. Sie muss vorher schriftlich gemahnt und auf die Rechtsfolgen hingewiesen werden; ihr ist eine angemessene Bedenkzeit einzurÃ¤umen. Behandlungs- oder Eingliederungsmassnahmen, die eine Gefahr fÃ¼r Leben und Gesundheit darstellen, sind nicht zumutbar.</w:t>
      </w:r>
    </w:p>
    <w:p>
      <w:r>
        <w:rPr>
          <w:b/>
        </w:rPr>
        <w:t>E. 3</w:t>
      </w:r>
    </w:p>
    <w:p>
      <w:r>
        <w:t>3.1Â Â Â Â  Aus den Akten ist ersichtlich, dass sich der BeschwerdefÃ¼hrer nach Erlass der leistungsverneinenden VerfÃ¼gung vom 6. September 2004 (Urk. 7/12) am 7. Dezember 2005 erneut bei der Beschwerdegegnerin zum Bezug von beruflichen Massnahmen im Sinne von Berufsberatung anmeldete (Urk. 7/14), worauf die Beschwerdegegnerin weitere medizinische Berichte einholte (Urk. 7/15/1-9) und verschiedene berufliche AbklÃ¤rungsgesprÃ¤che mit dem BeschwerdefÃ¼hrer fÃ¼hrte (Urk. 7/24/1-3).</w:t>
      </w:r>
    </w:p>
    <w:p>
      <w:r>
        <w:t>3.2Â Â Â Â  Aus dem Verlaufsprotokoll Berufsberatung vom 22. Mai 2007 ist sodann ersichtlich, dass die Beschwerdegegnerin davon ausging, dass sie den Sachverhalt in Bezug auf die EingliederungsfÃ¤higkeit des BeschwerdefÃ¼hrers nicht ausreichend habe abklÃ¤ren kÃ¶nnen. Zu diesem Zweck sei die Absolvierung eines Testtages und von Probewochen bei der Stiftung B.___ vorgesehen gewesen, welche mangels Mitwirkung des BeschwerdefÃ¼hrers nicht hatten durchgefÃ¼hrt werden kÃ¶nnen (Urk. 7/24 S. 1).</w:t>
      </w:r>
    </w:p>
    <w:p>
      <w:r>
        <w:t>3.3Â Â Â Â  Demnach ist davon auszugehen, dass bei Erlass der VerfÃ¼gung vom 22. Mai 2007 der Sachverhalt im Hinblick auf die Frage nach der EingliederungsfÃ¤higkeit des BeschwerdefÃ¼hrers noch nicht rechtsgenÃ¼gend abgeklÃ¤rt war. Bei dem am 17. April 2007 vorgesehene Testtag und bei den fÃ¼r die Zeit vom 23. April bis 4. Mai 2007 vorgesehenen Probewochen bei der Stiftung B.___ handelte es sich somit um AbklÃ¤rungsmassnahmen. Es ist vorliegend daher zu prÃ¼fen, ob die Beschwerdegegnerin zu Recht wegen einer Verletzung der Mitwirkungspflicht im Sinne von Art. 43 Abs. 3 ATSG auf Grund der Akten verfÃ¼gte, wobei gemÃ¤ss Art. 43 Abs. 3 ATSG eine Verletzung der Mitwirkungspflicht nur dann vorliegt, wenn diese in unentschuldbarer Weise erfolgt ist. Im Folgenden bleibt daher zu prÃ¼fen, ob der BeschwerdefÃ¼hrer in unentschuldbarer Weise seiner Mitwirkungspflicht nicht nachkam.</w:t>
      </w:r>
    </w:p>
    <w:p>
      <w:r>
        <w:rPr>
          <w:b/>
        </w:rPr>
        <w:t>E. 4</w:t>
      </w:r>
    </w:p>
    <w:p>
      <w:r>
        <w:t>4.1Â Â Â Â  Dr. med. C.___, Facharzt FMH fÃ¼r Kinder- und Jugendpsychiatrie und -psychotherapie, diagnostizierte mit Bericht vom 15. Februar 2006 einen atypischen Autismus und erwÃ¤hnte, dass der BeschwerdefÃ¼hrer in der sozialen Interaktion stark beeintrÃ¤chtigt sei. Der BeschwerdefÃ¼hrer habe sich zum Ziel gesetzt Berufsfussballspieler zu werden. Seine SelbsteinschÃ¤tzung sei stark beeintrÃ¤chtigt. AnlÃ¤sslich vom BeschwerdefÃ¼hrer absolvierten Berufspraktika habe er sich als nur bedingt teamfÃ¤hig und als wenig sensibel im Umgang mit Menschen erwiesen. Auf Grund des psychischen Zustandes des BeschwerdefÃ¼hrers empfehle er diesem eine begleitete Berufslehre in einem geschÃ¼tzten Rahmen (Urk. 7/15 S. 3).</w:t>
      </w:r>
    </w:p>
    <w:p>
      <w:r>
        <w:t>4.2Â Â Â Â  Dr. med. D.___, FMH Psychiatrie und Psychotherapie, stellte mit Stellungnahme vom 14. Juni 2007 fest, dass der BeschwerdefÃ¼hrer in pubertÃ¤rer und krankheitsbedingter SelbstÃ¼berschÃ¤tzung Eingliederungsmassnahmen der Invalidenversicherung abgelehnt habe. Infolge einer posttraumatischen BelastungsstÃ¶rung bedingt durch Kriegserlebnisse, Flucht und hÃ¤usliche Gewalt sei es zu Ãbererregung und sozialen StÃ¶rungen und zu einer verminderten ZurechnungsfÃ¤higkeit gekommen. Inzwischen habe sich der BeschwerdefÃ¼hrer stabilisiert und kÃ¶nne seine Eingliederungsmassnahmen wahrnehmen (Urk. 3).</w:t>
      </w:r>
    </w:p>
    <w:p>
      <w:r>
        <w:rPr>
          <w:b/>
        </w:rPr>
        <w:t>E. 5</w:t>
      </w:r>
    </w:p>
    <w:p>
      <w:r>
        <w:t>5.1Â Â Â Â  In WÃ¼rdigung der erwÃ¤hnten Ã¤rztlichen Berichte fÃ¤llt auf, dass Dr. C.___ und Dr. D.___ in ihrer Beurteilung des Gesundheitszustandes des BeschwerdefÃ¼hrers Ã¼bereinstimmend davon ausgingen, dass dem BeschwerdefÃ¼hrer die Teilnahme an beruflichen Eingliederungsmassnahmen von seiner gesundheitlichen Verfassung her mÃ¶glich und zumutbar ist.</w:t>
      </w:r>
    </w:p>
    <w:p>
      <w:r>
        <w:t>5.2Â Â Â Â  Es gilt sodann zu beachten, dass der Bericht von Dr. C.___ vom 15. Februar 2006 bezÃ¼glich der Anamnese auf den Bericht der Kinderklinik des Kantonsspitals Winterthur vom 17. November 2003 (Urk. 7/15/6-9) verweist (Urk. 7/15 S. 2) und deshalb in Kenntnis der medizinischen Vorakten verfasst worden ist. Dr. C.___ setzte sich in seinem Bericht sodann eingehend mit den subjektiven Angaben des BeschwerdefÃ¼hrers auseinander und begrÃ¼ndete seine Schlussfolgerungen in diagnostischer Hinsicht sowie in Bezug auf die EingliederungsfÃ¤higkeit des BeschwerdefÃ¼hrers in nachvollziehbarer Weise. Insgesamt vermag der Bericht von Dr. C.___ vom 15. Februar daher zu Ã¼berzeugen, weshalb er als voll beweiskrÃ¤ftige Entscheidungsgrundlage zu qualifizieren ist.</w:t>
      </w:r>
    </w:p>
    <w:p>
      <w:r>
        <w:t>5.3Â Â Â Â  Nicht abgestellt werden kann hingegen auf die Beurteilung durch Dr. D.___ vom 14. Juni 2007. Denn es ist der Beurteilung durch Dr. D.___ nicht zu entnehmen, aus welchen GrÃ¼nden der BeschwerdefÃ¼hrer im Hinblick auf die Teilnahme am Testtag vom 17. April 2007 und an den Probewochen vom 23. April bis 4. Mai 2007 bei der Stiftung B.___ in leichten bis mittleren Umfang in seiner ZurechnungsfÃ¤higkeit beeintrÃ¤chtigt gewesen sein sollte. Insbesondere ist nicht einzusehen, weshalb Dr. D.___, welche zwar dem BeschwerdefÃ¼hrer berufliche Eingliederungsmassnahmen grundsÃ¤tzlich zumuten wollte, diesem fÃ¼r die Teilnahme am Testtag vom 17. April 2007 und an den Probewochen vom 23. April bis 4. Mai 2007 hingegen eine verminderte ZurechnungsfÃ¤higkeit attestierte. DiesbezÃ¼glich gilt es zu beachten, dass nach der Rechtsprechung fÃ¼r die Annahme einer verminderten ZurechnungsfÃ¤higkeit vorausgesetzt ist, dass die betreffende Person wegen Geisteskrankheit, Schwachsinn oder schwerer StÃ¶rung des Bewusstseins, beziehungsweise weil sie in ihrer geistigen Gesundheit oder in ihrem Bewusstsein beeintrÃ¤chtigt oder geistig mangelhaft entwickelt ist, unfÃ¤hig oder nur beschrÃ¤nkt fÃ¤hig ist, das Unrecht ihrer Taten einzusehen beziehungsweise gemÃ¤ss ihrer Einsicht in das Unrecht der Taten zu handeln (vgl. Urteil des Bundesgerichts in Sachen X. vom 8. Oktober 2001, 6S.166/2000, Erw. 6 b/cc). Dem Bericht von Dr. D.___ vom 14. Juni 2007 lÃ¤sst sich keine BegrÃ¼ndung dafÃ¼r entnehmen, aus welchem Grunde dem BeschwerdefÃ¼hrer die Einsichts- und BestimmungsfÃ¤higkeit im Zeitraum der vorgesehenen Eingliederungsmassnahmen vorÃ¼bergehend vermindert gewesen sein sollte. Mangels einer nachvollziehbaren BegrÃ¼ndung kann auf die Beurteilung durch Dr. D.___ daher nicht abgestellt werden.</w:t>
      </w:r>
    </w:p>
    <w:p>
      <w:r>
        <w:t>5.4Â Â Â Â  GestÃ¼tzt auf die Beurteilung durch Dr. C.___ ist somit davon auszugehen, dass dem BeschwerdefÃ¼hrer berufliche Eingliederungsmassnahmen in gesundheitlicher Hinsicht zuzumuten waren (Urk. 7/15/3), und dass mit dem massgebenden Beweisgrad der Ã¼berwiegenden Wahrscheinlichkeit davon auszugehen ist, dass beim 19-jÃ¤hrigen BeschwerdefÃ¼hrer, welcher einen durchschnittlichen Intelligenzquotienten aufwies, die fÃ¼r die Bejahung der ZurechnungsfÃ¤higkeit vorausgesetzte Einsicht- und BestimmungsfÃ¤higkeit sowohl wÃ¤hrend dem Testtag vom 17. April 2007 als auch wÃ¤hrend den Probewochen vom 23. April bis 4. Mai 2007 bei der Stiftung B.___ in unvermindertem Umfange vorhanden waren.</w:t>
      </w:r>
    </w:p>
    <w:p>
      <w:r>
        <w:t>5.5Â Â Â Â  Die Beschwerdegegnerin hat ein Schreiben vom 9. Februar 2007 (Urk. 7/19) mit dem Titel ÂBitte um Information bezÃ¼glich Stand der AbklÃ¤rungenÂ an die Mutter des BeschwerdefÃ¼hrers gerichtet und eine Kopie davon an die BeistÃ¤ndin des BeschwerdefÃ¼hrers. Eine Reaktion auf dieses Schreiben ist nicht aktenkundig. Darauf hin erging das Mahnschreiben der Beschwerdegegnerin vom 28. MÃ¤rz 2007 an den BeschwerdefÃ¼hrer persÃ¶nlich (Urk. 7/21) ohne Kopie an die BeistÃ¤ndin. Da die Ernennung der Beistandschaft gemÃ¤ss Art. 308 des Schweizerischen Zivilgesetzbuchs (ZGB) vom 19. Februar 2004 (Urk. 7/4) nicht explizit mit einer Vertretung verbunden war, war die alleinige Zustellung des Mahnschreibens an den BeschwerdefÃ¼hrer zwar rechtens (Breitschmid in Basler Kommentar Honsell/Vogt/Geiser N 6 zu Art. 308 ZGB), aber wohl eher nicht sachdienlich.</w:t>
      </w:r>
    </w:p>
    <w:p>
      <w:r>
        <w:t>6.Â Â Â Â Â Â  Nach Gesagtem ist die Nichtteilnahme des BeschwerdefÃ¼hrers am Testtag vom 17. April 2007 und an den Probewochen vom 23. April bis 4. Mai 2007 nicht zu rechtfertigen. Durch die Nichtteilnahme an diesen Massnahmen ist der BeschwerdefÃ¼hrer in unentschuldbarer Weise seinen ihm obliegenden Mitwirkungspflichten nicht nachgekommen. Es ist daher nicht zu beanstanden, dass die Beschwerdegegnerin am 22. Mai 2007 auf Grund der Akten verfÃ¼gte. Auf Grund der vorhandenen Akten ist ein Anspruch des BeschwerdefÃ¼hrers auf berufliche Massnahmen zu verneinen. Demnach ist die gegen die angefochtene VerfÃ¼gung vom 22. Mai 2007 erhobene Beschwerde abzuweisen.</w:t>
      </w:r>
    </w:p>
    <w:p>
      <w:r>
        <w:t>Â Â Â Â Â Â Â Â  Dem BeschwerdefÃ¼hrer bleibt es unbenommen, sich erneut bei der Beschwerdegegnerin zum Bezug von beruflichen Massnahmen anzumelden. Nach einer allfÃ¤lligen erneuten Anmeldung zum Leistungsbezug wird die Beschwerdegegnerin den Leistungsanspruch des BeschwerdefÃ¼hrers erneut prÃ¼fen und - allenfalls nach DurchfÃ¼hrung weiterer AbklÃ¤rungsmassnahmen - erneut Ã¼ber dessen Anspruch auf berufliche Massnahmen befinden.</w:t>
      </w:r>
    </w:p>
    <w:p>
      <w:r>
        <w:t>Â</w:t>
      </w:r>
    </w:p>
    <w:p>
      <w:r>
        <w:t>Das Gericht erkennt:</w:t>
      </w:r>
    </w:p>
    <w:p>
      <w:r>
        <w:t>1.Â Â Â Â Â Â Â Â  Die Beschwerde wird abgewiesen.</w:t>
      </w:r>
    </w:p>
    <w:p>
      <w:r>
        <w:t>2.Â Â Â Â Â Â Â Â  Die Gerichtskosten von Fr. 500.-- werden dem BeschwerdefÃ¼hrer auferlegt.</w:t>
      </w:r>
    </w:p>
    <w:p>
      <w:r>
        <w:t>3.Â Â Â Â Â Â Â Â  Zustellung gegen Empfangsschein an:</w:t>
      </w:r>
    </w:p>
    <w:p>
      <w:r>
        <w:t>- P.___</w:t>
      </w:r>
    </w:p>
    <w:p>
      <w:r>
        <w:t>- Sozialversicherungsanstalt des Kantons ZÃ¼rich, IV-Stelle</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