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IV.2007.00854 vom 28. Mai 2009</w:t>
      </w:r>
    </w:p>
    <w:p>
      <w:r>
        <w:t>ZH Sozialversicherungsgericht, 2009-05-28, DE</w:t>
      </w:r>
    </w:p>
    <w:p>
      <w:r>
        <w:rPr>
          <w:b/>
        </w:rPr>
        <w:t xml:space="preserve">Quelle: </w:t>
      </w:r>
      <w:r>
        <w:t>https://mcp.opencaselaw.ch/entscheid/zh_sozialversicherungsgericht_IV.2007.00854</w:t>
      </w:r>
    </w:p>
    <w:p>
      <w:r>
        <w:t>FR: ZH_SOZIALVERSICHERUNGSGERICHT IV.2007.00854 du 28 mai 2009</w:t>
      </w:r>
    </w:p>
    <w:p>
      <w:r>
        <w:t>IT: ZH_SOZIALVERSICHERUNGSGERICHT IV.2007.00854 del 28 maggio 2009</w:t>
      </w:r>
    </w:p>
    <w:p>
      <w:pPr>
        <w:pStyle w:val="Heading2"/>
      </w:pPr>
      <w:r>
        <w:t>Erwägungen</w:t>
      </w:r>
    </w:p>
    <w:p>
      <w:r>
        <w:rPr>
          <w:b/>
        </w:rPr>
        <w:t>E. 2</w:t>
      </w:r>
    </w:p>
    <w:p>
      <w:r>
        <w:t>2.1Â Â Â Â  Die (durch die Rechtsprechung nÃ¤her umschriebene) Bindungswirkung der InvaliditÃ¤tsbemessung der Ersten SÃ¤ule (Invalidenversicherung) fÃ¼r die Zweite SÃ¤ule (berufliche Vorsorge) ist in den Art. 23 ff. des Bundesgesetzes Ã¼ber die berufliche Alters-, Hinterlassenen- und Invalidenvorsorge (BVG) positivrechtlich ausdrÃ¼cklich verankert. Das zeigt sich darin, dass sich der Leistungsanspruch auf eine Invalidenrente der obligatorischen beruflichen Vorsorge an den sachbezÃ¼glichen Voraussetzungen des IVG orientiert (Art. 23 BVG), die HÃ¶he der berufsvorsorgerechtlichen Rente analog zu derjenigen nach dem Bundesgesetz Ã¼ber die Invalidenversicherung (IVG) bestimmt wird (Art. 24 Abs. 1 BVG) und schliesslich fÃ¼r den Beginn des Anspruchs auf eine BVG-Invalidenrente gestÃ¼tzt auf Art. 26 Abs. 1 BVG sinngemÃ¤ss die entsprechenden invalidenversicherungsrechtlichen Bestimmungen (Art. 29 IVG in der hier massgebenden, bis Ende 2007 gÃ¼ltig gewesenen Fassung) gelten. Diese gesetzliche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Indem die InvaliditÃ¤tsbemessung der Invalidenversicherung fÃ¼r die Organe der (obligatorischen) beruflichen Vorsorge prinzipiell bindend ist, ist sie geeignet, die Leistungspflicht des BVG-Versicherers in grundsÃ¤tzlicher, zeitlicher und masslicher Hinsicht im Sinne von Art. 49 Abs. 4 ATSG (unmittelbar) zu berÃ¼hren. Die Organe der beruflichen Vorsorge sind daher zur Beschwerde gegen die VerfÃ¼gung der IV-Stelle Ã¼ber den Rentenanspruch als solchen oder den InvaliditÃ¤tsgrad berechtigt; ebenso ist der BVG-Versicherer befugt, in Streitigkeiten um eine Rente der Invalidenversicherung gegen Entscheide kantonaler Gerichte Beschwerde ans Bundesgericht zu fÃ¼hren.</w:t>
      </w:r>
    </w:p>
    <w:p>
      <w:r>
        <w:t>Â Â Â Â Â Â Â Â  Wie erwÃ¤hnt, erstreckt sich die Verbindlichkeitswirkung nur auf diejenigen Feststellungen und Beurteilungen im IV-Verfahren, welche dort fÃ¼r die Festlegung des Anspruchs auf eine Rente der Invalidenversicherung entscheidend waren und Ã¼ber die demnach effektiv zu befinden war; andernfalls haben die Organe der beruflichen Vorsorge die Anspruchsvoraussetzungen ihrerseits frei zu prÃ¼fen. Die Festsetzung des Beginns des Rentenanspruches durch die Invalidenversicherung schliesst sodann nicht aus, dass die den Anspruch auf Invalidenleistungen nach BVG begrÃ¼ndende ArbeitsunfÃ¤higkeit (in geringerem Ausmass) schon mehr als ein Jahr zuvor eingetreten ist (Urteil des Bundesgerichts in Sachen Personalvorsorgestiftung X. vom 25. Juli 2008, 9C_414/2007, Erw. 2.2-2.3).</w:t>
      </w:r>
    </w:p>
    <w:p>
      <w:r>
        <w:t>2.2Â Â Â Â  Im vorliegenden Fall ist die dargelegte Verbindlichkeitswirkung und damit die Rechtsmittellegitimation der BeschwerdefÃ¼hrerin zu bejahen.</w:t>
      </w:r>
    </w:p>
    <w:p>
      <w:r>
        <w:t>Â Â Â Â Â Â Â Â  Weil die Beschwerdegegnerin den Beginn der einjÃ¤hrigen Wartezeit (Art. 29 Abs. 1 lit. b IVG in der bis Ende 2007 gÃ¼ltig gewesenen Fassung) auf den 1. Juni 2004 und damit vor Ablauf der Nachdeckungsfrist gemÃ¤ss Art. 10 Abs. 3 BVG festgesetzt hat, liegt eine im invalidenversicherungsrechtlichen Verfahren fÃ¼r die Festlegung des Anspruchs auf eine Invalidenrente entscheidende und fÃ¼r die BeschwerdefÃ¼hrerin verbindliche Feststellung und Beurteilung vor, welche den berufsvorsorgerechtlichen Leistungsanspruch in Bezug auf den Zeitpunkt des Eintritts der zur InvaliditÃ¤t fÃ¼hrenden ArbeitsunfÃ¤higkeit (Art. 23 BVG) prÃ¤judiziert. Entsprechend steht der BeschwerdefÃ¼hrerin insoweit eine Rechtsmittelbefugnis zu. An der Legitimation der BeschwerdefÃ¼hrerin Ã¤ndert die unmittelbar an das VersicherungsverhÃ¤ltnis anschliessende Arbeitslosigkeit (vgl. Urk. 7/25) nichts, denn nach der Aktenlage vertrat die Stiftung Auffangeinrichtung BVG als Risikoversicherung fÃ¼r arbeitslose Personen (Art. 60 Abs. 2 lit. e BVG und Verordnung Ã¼ber die obligatorische berufliche Vorsorge von arbeitslosen Personen vom 3. MÃ¤rz 1997 [SR 837.174]) die Auffassung, die Beigeladene habe bei Beginn der Arbeitslosigkeit am 1. Juni 2004 die Voraussetzungen fÃ¼r die Aufnahme in die Versicherung nicht erfÃ¼llt (Urk. 7/77).</w:t>
      </w:r>
    </w:p>
    <w:p>
      <w:r>
        <w:t>3.Â Â Â Â Â Â</w:t>
      </w:r>
    </w:p>
    <w:p>
      <w:r>
        <w:t>3.1Â Â Â Â  Nach Auffassung der Beschwerdegegnerin kann aufgrund des Gutachtens von Dr. B.___ davon ausgegangen werden, dass sich die vom Experten diagnostizierte PersÃ¶nlichkeitsstÃ¶rung erstmals nach AuflÃ¶sung des letzten, offensichtlich sehr wohlwollenden ArbeitsverhÃ¤ltnisses bei der Suche einer Stelle auf dem freien Arbeitsmarkt einschrÃ¤nkend bemerkbar machte. FÃ¼r eine spÃ¤tere ErÃ¶ffnung der Wartezeit gebe es keine Ã¼berzeugenden Anhaltspunkte (vgl. Urk. 2). DemgegenÃ¼ber macht die BeschwerdefÃ¼hrerin im Wesentlichen geltend, das letzte ArbeitsverhÃ¤ltnis sei durch den Unfall der von der Beigeladenen betreuten Mutter des Arbeitgebers und nicht aus gesundheitlichen GrÃ¼nden aufgelÃ¶st worden. Anschliessend habe die Beigeladene bei voller VermittlungsfÃ¤higkeit von Juni 2004 bis Mai 2005 Taggelder der Arbeitslosenversicherung bezogen und sei in zwei Zwischenverdiensten tÃ¤tig gewesen. Der Gesundheitszustand habe sich erst im Verlauf der anhaltenden Arbeitslosigkeit soweit verschlechtert, dass frÃ¼hestens ab Beendigung des Zwischenverdienstes bei der D.___ im Oktober 2004 von ArbeitsunfÃ¤higkeit ausgegangen werden kÃ¶nne (Urk. 1).</w:t>
      </w:r>
    </w:p>
    <w:p>
      <w:r>
        <w:t>3.2</w:t>
      </w:r>
    </w:p>
    <w:p>
      <w:r>
        <w:t>3.2.1Â Â  Die behandelnde Psychiaterin Dr. A.___ diagnostizierte im Bericht des Y.___ vom 30. Mai 2005 (Urk. 7/28) eine organische PersÃ¶nlichkeitsstÃ¶rung bei einem ausgeprÃ¤gten ADDH-Syndrom (ICD-10 F07.0) und eine rezidivierende depressive StÃ¶rung, gegenwÃ¤rtig leichte Episode (ICD-10 F33.0). Das angeborene ADDH habe sich Ã¼ber viele Jahre zu einer reaktiven PersÃ¶nlichkeitsstÃ¶rung entwickelt. Daneben leide die Beigeladene unter einem Tinnitus und SchwerhÃ¶rigkeit (Versorgung durch die IV mit HÃ¶rgerÃ¤ten, vgl. Urk. 7/11-14) sowie einer chronischen Atemwegserkrankung (vgl. dazu Urk. 7/22/5). Die Ãrztin hielt fest, die Beigeladene sei in den psychischen Funktionen KonzentrationsfÃ¤higkeit, AuffassungsvermÃ¶gen, AnpassungsfÃ¤higkeit und Belastbarkeit erheblich eingeschrÃ¤nkt. Das Leistungs- und DurchhaltevermÃ¶gen sei dadurch deutlich beeintrÃ¤chtigt. Sie stosse in der bisherigen TÃ¤tigkeit als Pflegerin aufgrund ihrer spezifischen StÃ¶rung an die Grenze der eigenen Belastbarkeit. Insbesondere werde auch die Zusammenarbeit im Team zum Problem. Die Beigeladene benÃ¶tige klare Aufgabenstellungen und strukturierte Rahmenbedingungen, um eine TÃ¤tigkeit ausfÃ¼hren zu kÃ¶nnen. Eine regelmÃ¤ssige ArbeitstÃ¤tigkeit dÃ¼rfte sich nach Ansicht der Ãrztin emotional und psychosozial stabilisierend auf den Gesundheitszustand auswirken. Sie empfahl deshalb weitere AbklÃ¤rungen zu angepassten beruflichen EinsatzmÃ¶glichkeiten. In einer derartigen TÃ¤tigkeit erachtete Dr. A.___ die Beigeladene halbtags arbeitsfÃ¤hig.</w:t>
      </w:r>
    </w:p>
    <w:p>
      <w:r>
        <w:t>3.2.2Â Â  Dr. B.___ erhob in seinem Gutachten (Urk. 7/33) eine ausfÃ¼hrliche Anamnese und beschrieb die lebensgeschichtliche Entwicklung der Beigeladenen, welche geprÃ¤gt war durch das ADHS-Syndrom und die Legasthenie. Die dadurch entstandenen schulischen und sozialen Defizite hÃ¤tten sich spÃ¤ter auch ungÃ¼nstig in der beruflichen TÃ¤tigkeit ausgewirkt und zu hÃ¤ufigen Stellenwechseln gefÃ¼hrt, weil es immer wieder Schwierigkeiten mit den Arbeitgebern gab (S. 3-6). Diagnostisch ging der Gutachter mit der Beurteilung durch Dr. A.___ einig, dass es sich bei der psychischen Problematik der Beigeladenen um eine StÃ¶rung seit frÃ¼hester Kindheit handelt, die das ganze Leben hindurch persistierte. Er bestÃ¤tigte auch, dass Symptome einer hirnorganischen StÃ¶rung wie die andauernd reduzierte FÃ¤higkeit, zielgerichtete AktivitÃ¤ten Ã¼ber eine lÃ¤ngere Zeit durchzuhalten, emotionale LabilitÃ¤t und leichte Reizbarkeit, NichtberÃ¼cksichtigung sozialer Konventionen sowie eine gewisse LogorrhÃ¶ vorhanden seien. Auch die SchreibschwÃ¤che passe dazu. Da es indessen am Nachweis fÃ¼r eine lokale HirnschÃ¤digung fehle, ziehe er die Diagnose EntwicklungsstÃ¶rung (ICD-10 F80) vor. Differentialdiagnostisch sei auch an eine AktivitÃ¤ts- und AufmerksamkeitsstÃ¶rung (ICD-10 F90.0) zu denken. Welche Diagnose man auch annehme, sicher sei, dass die StÃ¶rung seit frÃ¼hester Kindheit bestehe und sich im beruflichen und sozialen Leben sehr ungÃ¼nstig auswirke. Die damit verbundene PersÃ¶nlichkeitsstÃ¶rung fÃ¼hre auch dazu, dass die Beigeladene bei IntegrationsbemÃ¼hungen nicht kooperativ mitmachen kÃ¶nne, was bereits mehrfach zum Scheitern entsprechender Versuche gefÃ¼hrt habe (S. 8 f.).</w:t>
      </w:r>
    </w:p>
    <w:p>
      <w:r>
        <w:t>Â Â Â Â Â Â Â Â  Die ArbeitsfÃ¤higkeit ist in der Beurteilung des Gutachters in erster Linie durch die soziale PersÃ¶nlichkeitsstÃ¶rung eingeschrÃ¤nkt. Durch die stÃ¶rungsbedingte UnfÃ¤higkeit, sich in ein berufliches Umfeld einzupassen, ecke sie Ã¼berall an und sei mit ihrer Art sozial nicht tragbar. Die Beigeladene sei durchaus arbeitswillig, aber wegen ihrer PersÃ¶nlichkeitsstÃ¶rung hÃ¤ufig nicht Ã¼ber lÃ¤ngere Zeit tragbar. Der Gutachter sieht aus den genannten GrÃ¼nden fÃ¼r die Beigeladene hÃ¶chstens einen (finanziell unergiebigen) Nischenarbeitsplatz in der Betagtenbetreuung, sofern sich jemand finde, der ihre PersÃ¶nlichkeit aushalte. Zur erwÃ¤hnten psychischen Problematik gesellten sich noch die kÃ¶rperlichen Schwierigkeiten mit ihrem reduzierten Lungenvolumen und der SchwerhÃ¶rigkeit. Aus all diesen GrÃ¼nden attestierte der Gutachter eine EinschrÃ¤nkung der ArbeitsfÃ¤higkeit von 80 % (S. 11).</w:t>
      </w:r>
    </w:p>
    <w:p>
      <w:r>
        <w:t>3.3Â Â Â Â  Was nun die vorliegend zu beurteilende Frage nach dem Beginn der ArbeitsunfÃ¤higkeit anbelangt, enthalten weder der Bericht von Dr. A.___ noch das Gutachten von Dr. B.___ explizite Angaben darÃ¼ber, ab wann die PersÃ¶nlichkeitsstÃ¶rung sich auf die ArbeitsfÃ¤higkeit auszuwirken begann. Die BeschwerdefÃ¼hrerin stellte an sich zu Recht fest, es gebe keine Anhaltspunkte, dass sich der Gesundheitszustand unmittelbar nach Beendigung des letzten ArbeitsverhÃ¤ltnisses per Ende Mai 2004 stark verschlechtert habe (vgl. Urk. 1 S. 3). Abgesehen von der leichten depressiven StÃ¶rung ist den medizinischen Unterlagen aber auch nach diesem Zeitpunkt keine relevante Verschlechterung des Gesundheitszustandes zu entnehmen. Wie im Gutachten von Dr. B.___ umfassend und nachvollziehbar beschrieben, besteht die einschrÃ¤nkende soziale PersÃ¶nlichkeitsstÃ¶rung seit Jahren. Offensichtlich war die letzte Arbeitsstelle, an der sie eine betagte Frau betreuen konnte, ein Nischenarbeitsplatz, an welchem ihre Behinderung nicht allzu stÃ¶rend in Erscheinung trat und den sie deshalb zur Zufriedenheit ihres Arbeitgebers ausfÃ¼llen konnte. Die BeschwerdefÃ¼hrerin geht davon aus, dass sie diese Art BeschÃ¤ftigung auch nach der Entlassung hÃ¤tte weiterfÃ¼hren kÃ¶nnen, was sich auch daran zeige, dass sie bei der Arbeitslosenversicherung als vermittlungsfÃ¤hig gegolten und TemporÃ¤reinsÃ¤tze ausgeÃ¼bt habe (Urk. 1 S. 4).</w:t>
      </w:r>
    </w:p>
    <w:p>
      <w:r>
        <w:t>3.4Â Â Â Â  Der Auffassung der BeschwerdefÃ¼hrerin kann aus den folgenden GrÃ¼nden nicht gefolgt werden:</w:t>
      </w:r>
    </w:p>
    <w:p>
      <w:r>
        <w:t>Â Â Â Â Â Â Â Â  ZunÃ¤chst kann sie aus dem Umstand, dass sich die Beigeladene selber bei der Arbeitslosenversicherung als vermittlungsfÃ¤hig bezeichnete, nichts zu ihren Gunsten ableiten. Ist eine behinderte Person, unter der Annahme einer ausgeglichenen Arbeitsmarktlage, nicht offensichtlich vermittlungsunfÃ¤hig und hat sie sich bei der Invalidenversicherung oder bei einer anderen der in Art. 15 Abs. 2 der Verordnung Ã¼ber die obligatorische Arbeitslosenversicherung und die InsolvenzentschÃ¤digung (AVIV) genannten Versicherungen angemeldet, so gilt sie bis zum Entscheid dieser Versicherung als vermittlungsfÃ¤hig (Art. 15 Abs. 3 erster Satz AVIV in Verbindung mit Art. 15 Abs. 2 zweiter Satz des Bundesgesetzes Ã¼ber die obligatorische Arbeitslosenversicherung und die InsolvenzentschÃ¤digung, AVIG). Diese Verordnungsbestimmung statuiert, dass unter der tatbestÃ¤ndlichen Voraussetzung der nicht offensichtlichen VermittlungsunfÃ¤higkeit der behinderten Person eine Vorleistungspflicht der Arbeitslosenversicherung im VerhÃ¤ltnis zur Invalidenversicherung bis zu deren Entscheid besteht. Stellt sich diese Annahme auf Grund der von der IV-Stelle ermittelten InvaliditÃ¤t nachtrÃ¤glich als unrichtig heraus, liegt ein prozessualer Revisionsgrund vor (vgl. Urteil des EidgenÃ¶ssischen Versicherungsgerichts [heute Bundesgericht] in Sachen H.___ vom 9. Oktober 2001, C 186/01, Erw. 2b/cc). Wie aus den Akten ersichtlich, hat die Arbeitslosenkasse denn auch eine entsprechende RÃ¼ckforderung bezogener EntschÃ¤digungen gestellt (Urk. 7/40).</w:t>
      </w:r>
    </w:p>
    <w:p>
      <w:r>
        <w:t>Â Â Â Â Â Â Â Â  Entscheidend ist aber, dass sich die Beigeladene gemÃ¤ss dem Gutachten von Dr. B.___ aufgrund ihrer PersÃ¶nlichkeitsstÃ¶rung kaum mehr in den Arbeitsprozess integrieren lÃ¤sst. D.h. sie kann ihre ArbeitsfÃ¤higkeit auf dem allgemeinen Arbeitsmarkt nicht verwerten, da sie einem durchschnittlichen Arbeitgeber nicht zumutbar ist. Aus dem Gutachten geht auch deutlich hervor, dass die StÃ¶rung nicht therapierbar und die Beigeladene auch nicht in der Lage ist, ihre schwierige Art, mit der sie offenbar auch wohlmeinende Leute immer wieder brÃ¼skiert, zu Ã¤ndern (vgl. Gutachten S. 3). Das letzte ArbeitsverhÃ¤ltnis als Betreuerin der betagten Frau kann deshalb nicht als Massstab fÃ¼r die weitere BeschÃ¤ftigung genommen werden, weil es sich dabei - wie erwÃ¤hnt - um einen Nischenarbeitsplatz handelte, wie er auf dem allgemeinen Arbeitsmarkt nicht oder nur ganz vereinzelt vorhanden sein dÃ¼rfte. Selbst ein derartiger Arbeitsplatz kommt aber nur in Frage, wenn sich eine Person findet, die die Beigeladene "aushÃ¤lt", wie Dr. B.___ bemerkte (vgl. Urk. 7/33/10).</w:t>
      </w:r>
    </w:p>
    <w:p>
      <w:r>
        <w:t>Â Â Â Â Â Â Â Â  Somit ist mit der Beschwerdegegnerin davon auszugehen, dass der Beigeladenen nach dem Verlust ihrer letzten Stelle eine ErwerbstÃ¤tigkeit auf dem allgemeinen Arbeitsmarkt nicht mehr mÃ¶glich war. Die Beschwerdegegnerin hat den Beginn der ArbeitsunfÃ¤higkeit und damit der Wartefrist zu Recht auf den 1. Juni 2004 festgesetzt. Dies fÃ¼hrt zur Abweisung der Beschwerde.</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Pensionskasse der Technischen VerbÃ¤nde SIA STV BSA FSAI USIC</w:t>
      </w:r>
    </w:p>
    <w:p>
      <w:r>
        <w:t>- Sozialversicherungsanstalt des Kantons ZÃ¼rich, IV-Stelle</w:t>
      </w:r>
    </w:p>
    <w:p>
      <w:r>
        <w:t>- RechtsanwÃ¤ltin Evalotta Samuelsson</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