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IV.2007.00761 vom 14. April 2008</w:t>
      </w:r>
    </w:p>
    <w:p>
      <w:r>
        <w:t>ZH Sozialversicherungsgericht, 2008-04-14, DE</w:t>
      </w:r>
    </w:p>
    <w:p>
      <w:r>
        <w:rPr>
          <w:b/>
        </w:rPr>
        <w:t xml:space="preserve">Quelle: </w:t>
      </w:r>
      <w:r>
        <w:t>https://mcp.opencaselaw.ch/entscheid/zh_sozialversicherungsgericht_IV.2007.00761</w:t>
      </w:r>
    </w:p>
    <w:p>
      <w:r>
        <w:t>FR: ZH_SOZIALVERSICHERUNGSGERICHT IV.2007.00761 du 14 avril 2008</w:t>
      </w:r>
    </w:p>
    <w:p>
      <w:r>
        <w:t>IT: ZH_SOZIALVERSICHERUNGSGERICHT IV.2007.00761 del 14 aprile 2008</w:t>
      </w:r>
    </w:p>
    <w:p>
      <w:pPr>
        <w:pStyle w:val="Heading2"/>
      </w:pPr>
      <w:r>
        <w:t>Erwägungen</w:t>
      </w:r>
    </w:p>
    <w:p>
      <w:r>
        <w:rPr>
          <w:b/>
        </w:rPr>
        <w:t>E. 2</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angefochtenen VerfÃ¼gungen am 8. Mai 2007 ergingen,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2.2Â Â Â Â Â Â Â Â  Invalide oder von einer InvaliditÃ¤t (Art. 8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w:t>
      </w:r>
    </w:p>
    <w:p>
      <w:r>
        <w:t>Â 2.3Â Â Â  Nach Art. 16 Abs. 1 IVG haben Versicherte, die noch nicht erwerbstÃ¤tig waren und denen infolge InvaliditÃ¤t bei der erstmaligen beruflichen Ausbildung in wesentlichem Umfange zusÃ¤tzliche Kosten entstehen, Anspruch auf Ersatz dieser Kosten, sofern die Ausbildung den FÃ¤higkeiten der Versicherten entspricht. Als erstmalige berufliche Ausbildung gilt gemÃ¤ss Art. 5 Abs. 1 IVV jede Berufslehre oder Anlehre sowie, nach Abschluss der Volks- oder Sonderschule, der Besuch einer Mittel-, Fach- oder Hochschule und die berufliche Vorbereitung auf eine Hilfsarbeit oder auf die TÃ¤tigkeit in einer geschÃ¼tzten WerkstÃ¤tte. Der erstmaligen beruflichen Ausbildung gleichgestellt ist laut Art. 16 Abs. 2 lit. b IVG die berufliche Neuausbildung invalider Versicherter, die nach dem Eintritt der InvaliditÃ¤t eine ungeeignete und auf die Dauer unzumutbare ErwerbstÃ¤tigkeit aufgenommen haben.</w:t>
      </w:r>
    </w:p>
    <w:p>
      <w:r>
        <w:t>2.4Â Â Â Â Â Â Â Â  Andererseits hat die versicherte Person nach Art. 17 Abs. 1 IVG Anspruch auf Umschulung auf eine neue ErwerbstÃ¤tigkeit, wenn die Umschulung infolge InvaliditÃ¤t notwendig ist und dadurch die ErwerbsfÃ¤higkeit voraussichtlich erhalten oder wesentlich verbessert werden kann. Der Umschulung auf eine neue ErwerbstÃ¤tigkeit gleichgestellt ist laut Abs. 2 derselben Bestimmung die Wiedereinschulung in den bisherigen Beruf. Als Umschulung gelten gemÃ¤ss Art. 6 IVV Ausbildungsmassnahmen, die Versicherte nach Abschluss einer erstmaligen beruflichen Ausbildung oder nach Aufnahme einer ErwerbstÃ¤tigkeit ohne vorgÃ¤ngige berufliche Ausbildung wegen ihrer InvaliditÃ¤t zur Erhaltung oder wesentlichen Verbesserung der ErwerbsfÃ¤higkeit benÃ¶tigen (Abs. 1). Musste eine erstmalige berufliche Ausbildung wegen InvaliditÃ¤t abgebrochen werden, so ist eine neue berufliche Ausbildung der Umschulung gleichgestellt, wenn das wÃ¤hrend der abgebrochenen Ausbildung zuletzt erzielte Erwerbseinkommen hÃ¶her war als das Taggeld nach Art. 23 Abs. 2 IVG (Abs. 2).</w:t>
      </w:r>
    </w:p>
    <w:p>
      <w:r>
        <w:t>2.5Â Â Â Â  FÃ¼r die Abgrenzung der beiden Leistungsarten kommt es entscheidend darauf an, ob die versicherte Person vor Eintritt der InvaliditÃ¤t - im Sinne des fÃ¼r die Eingliederungsmassnahme spezifischen Versicherungsfalles (Ulrich Meyer-Blaser, Zum VerhÃ¤ltnismÃ¤ssigkeitsgrundsatz im staatlichen Leistungsrecht, Diss. Bern 1985, S. 168, Fussnote 734) - in Ã¶konomisch bedeutsamem Ausmass erwerbstÃ¤tig gewesen ist oder nicht (BGE 121 V 186 Erw. 5b, 118 V 7, AHI 2000 S. 189, Urteil M. vom 19. August 2004, I 147/04). Nur auf diese Weise wird - vorbehÃ¤ltlich Art. 6 Abs. 2 IVV, welcher bei invaliditÃ¤tsbedingtem Abbruch einer erstmaligen beruflichen Ausbildung die neue berufliche Ausbildung unter den dort nÃ¤her beschriebenen Voraussetzungen der Umschulung gleichstellt - eine Abgrenzung erreicht zwischen der Umschulung gemÃ¤ss Art. 17 IVG und der gemÃ¤ss Art. 16 Abs. 2 lit. b IVG einer erstmaligen beruflichen Ausbildung gleichgestellten beruflichen Neuausbildung invalider Versicherter, die nach dem Eintritt der InvaliditÃ¤t eine ungeeignete und auf die Dauer unzumutbare ErwerbstÃ¤tigkeit aufgenommen haben (BGE 118 V 14 Erw. 1c/cc, Urteile des EidgenÃ¶ssischen Versicherungsgerichtes in Sachen M. vom 19. August 2004,Â  I 47/04, und in Sachen S. vom 16. MÃ¤rz 2006, I 159/05, Erw. 2).</w:t>
      </w:r>
    </w:p>
    <w:p>
      <w:r>
        <w:t>2.6Â Â Â Â Â Â Â Â  Versicherte haben wÃ¤hrend der Eingliederung Anspruch auf ein Taggeld, wenn sie an wenigstens drei aufeinander folgenden Tagen wegen der Eingliederung verhindert sind, einer Arbeit nachzugehen, oder in ihrer gewohnten TÃ¤tigkeit zu mindestens 50 Prozent arbeitsunfÃ¤hig (Art. 6 ATSG) sind. Versicherten in der erstmaligen beruflichen Ausbildung sowie Versicherten, die das 20. Altersjahr noch nicht vollendet haben und noch nicht erwerbstÃ¤tig gewesen sind, wird ein Taggeld ausgerichtet, wenn sie eine invaliditÃ¤tsbedingte Erwerbseinbusse erleiden (Art. 22 Abs. 1 IVG). Der Bundesrat bestimmt, unter welchen Voraussetzungen Taggelder fÃ¼r nicht zusammenhÃ¤ngende Tage (Art. 17 bis IVV), fÃ¼r Untersuchungs- (Art. 17 IVV), Warte- (Art. 18 und 19 IVV) und Anlernzeiten (Art. 20 IVV) sowie fÃ¼r UnterbrÃ¼che von Eingliederungsmassnahmen infolge Krankheit, Unfall und Mutterschaft (Art. 20 quater IVV) gewÃ¤hrt werden kÃ¶nnen (Art. 22 Abs. 6 IVG).</w:t>
      </w:r>
    </w:p>
    <w:p>
      <w:r>
        <w:rPr>
          <w:b/>
        </w:rPr>
        <w:t>E. 3</w:t>
      </w:r>
    </w:p>
    <w:p>
      <w:r>
        <w:t>3.1Â Â Â Â  Vorerst ist auf Grund der medizinischen Aktenlage der Zeitpunkt des InvaliditÃ¤tseintritts zu prÃ¼fen.</w:t>
      </w:r>
    </w:p>
    <w:p>
      <w:r>
        <w:t>3.2Â Â Â Â  GemÃ¤ss Bericht des Spitals G.___, Chirurgie, vom 20. Juli 2001 (Urk. 7/21/22) erlitt der BeschwerdefÃ¼hrer bei einem Sturz durch eine GlastÃ¼r am 7. Juli 2001 Schnittverletzungen auf HÃ¶he des distalen Oberarms links mit Durchtrennung des Nervus Ulnaris, des Ramus medialis/anterior des Nervus cutaneus antebrachii medialis und partieller Durchtrennung des Muskulus triceps, was eine Operation sowie das anschliessende Tragen einer Oberarmgipsschiene wÃ¤hrend dreier Wochen nÃ¶tig machte und eine ArbeitsunfÃ¤higkeit von 100 % bis zum 6. August 2001 nach sich zog (Urk. 7/19/1).</w:t>
      </w:r>
    </w:p>
    <w:p>
      <w:r>
        <w:t>3.3Â Â Â Â  Am 17. Oktober 2001 berichteten die Ãrzte des Spitals G.___, dass sich der postoperative Verlauf komplikationslos gestaltet habe und dass der BeschwerdefÃ¼hrer die Arbeit bereits am 6. August 2001 wieder aufgenommen habe. Es sei noch nicht absehbar, ob ein bleibender Nachteil zu erwarten sei (Urk. 7/21/16).</w:t>
      </w:r>
    </w:p>
    <w:p>
      <w:r>
        <w:t>3.4Â Â Â Â  Im Bericht des Spitals G.___ vom 4. Februar 2002 erklÃ¤rte OberÃ¤rztin Dr. med. B.___ (Urk. 7/21/10-11), dass in der Sprechstunde vom 22. Januar 2002 sechs Monate nach Direktnaht des Nervus ulnaris noch eine livide VerfÃ¤rbung der linken Hand, vor allem im Ulnarisgebiet, mit Krallenstellung und Atrophie der Handbinnenmuskulatur bestanden habe. Die ulnaren Flexoren und die Handbinnenmuskulaturen hÃ¤tten noch keine Zeichen einer Reinnervation gezeigt. Im proximalen Drittel des Hypothenars habe eine HypÃ¤sthesie, ansonsten noch eine AnÃ¤sthesie im Ulnarisgebiet bestanden. Auch Dr. B.___ erklÃ¤rte, dass noch nicht absehbar sei, ob ein bleibender Nachteil zu erwarten sei.</w:t>
      </w:r>
    </w:p>
    <w:p>
      <w:r>
        <w:t>3.5Â Â Â Â Â Â Â Â  OberÃ¤rztin Dr. med. C.___, Spital G.___, welche den BeschwerdefÃ¼hrer wegen Schmerzen im Ellbogen, ausgelÃ¶st durch strengere, kÃ¶rperliche Arbeiten, untersucht hatte, diagnostizierte im Bericht vom 3. April 2006 (Urk. 7/24) einen Status nach Revision mit Naht des Nervus ulnaris/Ramus medialis und Ramus anterior des Nervus cutaneus antibrachii medialis sowie Adaptation der Faszie des Muskulus trizeps am 7. Juli 2001 mit partieller Restitutio (persistierende Paresen der intrinsischen, ulnaris versorgten Handmuskulatur sowie persitierende mÃ¤ssige GefÃ¼hlsstÃ¶rung im sensiblen N. Ulnaris-Areal links/resp. Areal Nervus cutaneus antebrachii medialis links). Sie Ã¤usserte den Verdacht auf ein kleines Narbenneurom im Bereiche der Narbe am distalen Oberarm links. Knapp fÃ¼nf Jahre nach der Schnittverletzung zeige sich ein gutes postoperatives Resultat mit weitgehender Normalisierung der ulnaris-versorgten Muskulatur am Vorderarm mit nur noch leichten persistierenden Paresen der intrinsischen, ulnaris-versorgten Handmuskulatur sowie einer persistierenden mÃ¤ssigen GefÃ¼hlsstÃ¶rung im sensiblen Ulnarisareal links. Jedoch bestehe eine deutliche, persistierende, wenn auch nicht vollstÃ¤ndig aufgehobene GefÃ¼hlsstÃ¶rung mit noch erhaltener Spitz/Stumpfdiskrimination im Bereiche des Versorgungsgebietes des Nervus cutaneus antibrachii medialis links. Betreffend die ArbeitsfÃ¤higkeit hielt die Ãrztin fest, dass der BeschwerdefÃ¼hrer aufgrund der postoperativ sich entwickelnden persistierenden Kraftminderung der linken Hand sich zum Elektrozeichner umschulen lasse und kurz vor dem Abschluss stehe.</w:t>
      </w:r>
    </w:p>
    <w:p>
      <w:r>
        <w:t>3.6Â Â Â Â  Im Verlaufsbericht des Spitals G.___ vom 13. Juli 2006 (Urk. 7/25) hielten die Ãrzte die bisherige TÃ¤tigkeit als nicht mehr zumutbar, erachteten aber eine behinderungsangepasste TÃ¤tigkeit als ganztags mÃ¶glich (Urk. 7/25/4). Die neue BÃ¼roarbeit sei gut absolvierbar, subjektiv gebe der BeschwerdefÃ¼hrer aber eine verschlechterte Empfindlichkeit im Bereich der distalen Bicepssehne am Ellbogen an (Urk. 7/25/7).</w:t>
      </w:r>
    </w:p>
    <w:p>
      <w:r>
        <w:t>3.7Â Â Â Â  Mit Konsiliarbericht der Rheumatologie des Spitals G.___ vom 3. August 2006 (Urk. 7/26), welcher der BeschwerdefÃ¼hrer wegen belastungsabhÃ¤ngigem Schmerz in der Ellenbeuge zugewiesen worden war, wurde eine Ansatztendinose des Muskulus biceps brachii links, wahrscheinlich im Rahmen einer leichten Fehlbelastung bei anatomisch verÃ¤nderter Ausgangslage nach Schnittverletzungen am distalen Oberarm diagnostiziert.</w:t>
      </w:r>
    </w:p>
    <w:p>
      <w:r>
        <w:t>3.8Â Â Â Â  Dr. med. D.___, Regionaler Ãrztlicher Dienst (RAD), hielt am 8. Januar 2007 dafÃ¼r, dass auf die EinschÃ¤tzung des UniversitÃ¤tsspitals abzustellen und davon auszugehen sei, dass der BeschwerdefÃ¼hrer als Elektromonteur zu 100 % arbeitsunfÃ¤hig, als Elektrozeichner hingegen zu 100 % arbeitsfÃ¤hig sei (Urk. 7/34/4).</w:t>
      </w:r>
    </w:p>
    <w:p>
      <w:r>
        <w:rPr>
          <w:b/>
        </w:rPr>
        <w:t>E. 4</w:t>
      </w:r>
    </w:p>
    <w:p>
      <w:r>
        <w:t>4.1Â Â Â Â  In WÃ¼rdigung der oben erwÃ¤hnten medizinischen Aktenlage steht fest, dass der BeschwerdefÃ¼hrer aufgrund der durch den Unfall am 7. Juli 2001 erlittenen gesundheitlichen BeeintrÃ¤chtigungen am linken Oberarm seinen erlernten Beruf als Elektromonteur nicht mehr ausÃ¼ben kann. Damit ist der Versicherungsfall im Jahre 2001 und somit zu einem Zeitpunkt eingetreten, in welchem sich der BeschwerdefÃ¼hrer noch in der Erstausbildung, die er nach einer vierjÃ¤hrigen Lernzeit im August 2004 abschloss (Urk. 7/31/8-9), befand.</w:t>
      </w:r>
    </w:p>
    <w:p>
      <w:r>
        <w:t>4.2Â Â Â Â  Nach der Rechtsprechung haben, unter der Voraussetzung, dass zum Zeitpunkt des Versicherungsfalles noch kein Lehrabschluss vorlag, auch diejenigen FÃ¤lle als Abbruch einer erstmaligen Ausbildung zu gelten, in welchen die versicherten Personen zwar eine Berufslehre abschliessen und wÃ¤hrend kurzer Zeit auf dem erlernten Beruf noch arbeiten konnten, jedoch aus gesundheitlichen GrÃ¼nden den erlernten Beruf auf Dauer nicht ausÃ¼ben kÃ¶nnen. Dabei muss der erlernte Beruf aus gesundheitlichen GrÃ¼nden als ungeeignet erscheinen und dessen AusÃ¼bung den versicherten Personen auf die Dauer unzumutbar sein (AHI 2002 S. 103 Erw. 5b/aa, BGE 121 V 188 Erw. 3b).</w:t>
      </w:r>
    </w:p>
    <w:p>
      <w:r>
        <w:t>Â Â Â Â Â Â Â Â  Weil auf die VerhÃ¤ltnisse bei Eintritt des fÃ¼r die Eingliederungsmassnahme spezifischen Versicherungsfalles abzustellen ist, gestaltet sich die Rechtslage gleich wie bei einem invaliditÃ¤tsbedingten Abbruch der erstmaligen beruflichen Ausbildung im Sinne von Art. 6 Abs. 2 IVV. Damit ist der Abbruch einer erstmaligen Ausbildung der Umschulung nur gleichgestellt, wenn das wÃ¤hrend der abgebrochenen Ausbildung zuletzt erzielte Erwerbseinkommen hÃ¶her war als das Taggeld nach Art. 23 Abs. 2 IVG.</w:t>
      </w:r>
    </w:p>
    <w:p>
      <w:r>
        <w:t>4.3Â Â Â Â  Das in der Lehre zum Elektromonteur vor Eintritt des Versicherungsfalles erzielte Einkommen ist nicht aktenkundig, wird aber den Lohn des Jahres 2004 - und damit des 4. Lehrjahres - von Fr. 13'200.-- (12 mal Fr. 1'100.--, vgl. Urk. 7/18/10) beziehungsweise von rund Fr. 36.-- pro Tag nicht Ã¼berschritten haben. Dieses Einkommen erreicht den in Art. 6 Abs. 2 IVV festgelegten Grenzbetrag von Fr. 88.-- pro Tag (30 % von Fr. 293.--; Art. 23 Abs. 2 und Art. 24 Abs. 1 IVG in Verbindung mit Art. 22 UVV) bei weitem nicht. Damit entfÃ¤llt eine Qualifikation der Ausbildung zum Elektrozeichner als Umschulung aufgrund von Art. 6 Abs. 2 IVV, womit sie als erstmalige berufliche Ausbildung zu gelten hat.</w:t>
      </w:r>
    </w:p>
    <w:p>
      <w:r>
        <w:t>4.4Â Â Â Â  Nach Gesagtem hat die Beschwerdegegnerin die Lehrausbildung zum Elektrozeichner zu Recht als erstmalige berufliche Ausbildung eingestuft.</w:t>
      </w:r>
    </w:p>
    <w:p>
      <w:r>
        <w:t>5.Â Â Â Â Â Â</w:t>
      </w:r>
    </w:p>
    <w:p>
      <w:r>
        <w:t>5.1Â Â Â Â  Bei Versicherten in der erstmaligen beruflichen Ausbildung, die ohne Gesundheitsschaden die Ausbildung abgeschlossen hÃ¤tten und bereits im Erwerbsleben stÃ¼nden, entspricht das Taggeld 30 Prozent des HÃ¶chstbetrages des Taggeldes nach Artikel 24 Abs. 1 IVG (Art. 22 Abs. 3 IVV).</w:t>
      </w:r>
    </w:p>
    <w:p>
      <w:r>
        <w:t>5.2Â Â Â Â  Der 1985 geborene BeschwerdefÃ¼hrer schloss seine Lehre zum Elektromonteur im August 2004 ab und wÃ¼rde daher ohne Gesundheitsschaden bereits im Erwerbsleben stehen. Damit erfÃ¼llt er die Voraussetzungen nach Art. 22 Abs. 3 IVV, womit er Anspruch auf ein sogenannt ÂkleinesÂ Taggeld in HÃ¶he von Fr. 88.-- hat.</w:t>
      </w:r>
    </w:p>
    <w:p>
      <w:r>
        <w:t>6.Â Â Â Â Â Â  Weil sich die VerfÃ¼gungen vom 24. April 2007 (Urk. 7/42-45) als unrichtig erwiesen haben, ist deren Korrektur durch die Beschwerdegegnerin mittels VerfÃ¼gungen vom 8. Mai 2007 (Urk. 7/47-51), mit welchen der Taggeldansatz vom ÂgrossenÂ zum ÂkleinenÂ Taggeld geÃ¤ndert wurde, nicht zu beanstanden, weshalb die Beschwerde abzuweisen ist.</w:t>
      </w:r>
    </w:p>
    <w:p>
      <w:r>
        <w:t>7.Â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A.___</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