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IV.2007.00356 vom 20. Juni 2008</w:t>
      </w:r>
    </w:p>
    <w:p>
      <w:r>
        <w:t>ZH Sozialversicherungsgericht, 2008-06-20, DE</w:t>
      </w:r>
    </w:p>
    <w:p>
      <w:r>
        <w:rPr>
          <w:b/>
        </w:rPr>
        <w:t xml:space="preserve">Quelle: </w:t>
      </w:r>
      <w:r>
        <w:t>https://mcp.opencaselaw.ch/entscheid/zh_sozialversicherungsgericht_IV.2007.00356</w:t>
      </w:r>
    </w:p>
    <w:p>
      <w:r>
        <w:t>FR: ZH_SOZIALVERSICHERUNGSGERICHT IV.2007.00356 du 20 juin 2008</w:t>
      </w:r>
    </w:p>
    <w:p>
      <w:r>
        <w:t>IT: ZH_SOZIALVERSICHERUNGSGERICHT IV.2007.00356 del 20 giugno 2008</w:t>
      </w:r>
    </w:p>
    <w:p>
      <w:pPr>
        <w:pStyle w:val="Heading2"/>
      </w:pPr>
      <w:r>
        <w:t>Erwägungen</w:t>
      </w:r>
    </w:p>
    <w:p>
      <w:r>
        <w:rPr>
          <w:b/>
        </w:rPr>
        <w:t>E. 3</w:t>
      </w:r>
    </w:p>
    <w:p>
      <w:r>
        <w:t>fibulotalare Bandruptur rechts am oberen Sprunggelenk (OSG) am 17. Oktober 2004</w:t>
      </w:r>
    </w:p>
    <w:p>
      <w:r>
        <w:t>Bis auf weiteres bestehe eine ArbeitsunfÃ¤higkeit von 100 % (Urk. 8/60 S. 2 unten).</w:t>
      </w:r>
    </w:p>
    <w:p>
      <w:r>
        <w:t>3.4Â Â Â Â  Dr. med. E.___, Allgemeinmedizin FMH, welche die BeschwerdefÃ¼hrerin seit 2003 behandelt (Urk. 8/58/2 lit. D.1), nannte in ihrem Bericht vom 21. Juni 2005 zuhanden der Beschwerdegegnerin folgende Diagnosen mit Auswirkung auf die ArbeitsfÃ¤higkeit (Urk. 8/58/1 lit. A):</w:t>
      </w:r>
    </w:p>
    <w:p>
      <w:r>
        <w:t>- schwere depressive Symptomatik bestehend seit 2000</w:t>
      </w:r>
    </w:p>
    <w:p>
      <w:r>
        <w:t>- HalswirbelsÃ¤ulen-Spondylose mit Bandscheibenkollaps C6/7, median bis paramedian links sowie zirkulÃ¤re Bandscheibenprotrusion C5/C6 bestehend seit Ende 2004</w:t>
      </w:r>
    </w:p>
    <w:p>
      <w:r>
        <w:t>Keine Auswirkungen auf die ArbeitsfÃ¤higkeit habe das Colon irritabile mit Refluxsymptomatik, eine Sigmadivertikulose sowie der Verdacht auf Hydronephrose rechts bei Schrumpfniere links, alles bestehend seit 2002 (Urk. 8/58/1 lit. A).</w:t>
      </w:r>
    </w:p>
    <w:p>
      <w:r>
        <w:t>Die BeschwerdefÃ¼hrerin sei hauptsÃ¤chlich durch die depressive Symptomatik in ihrer ArbeitsfÃ¤higkeit behindert, diesbezÃ¼glich verwies Dr. E.___ auf den behandelnden Psychiater Dr. C.___ (Urk. 8/58 lit. B).</w:t>
      </w:r>
    </w:p>
    <w:p>
      <w:r>
        <w:t>3.5Â Â Â Â  Der behandelnde Arzt der BeschwerdefÃ¼hrerin, Dr. med. C.___, Facharzt fÃ¼r Psychiatrie und Psychotherapie FMH, erwÃ¤hnte mit Bericht vom 22. Juni 2005 (Urk. 8/59) einen sich verschlechternden Gesundheitszustand (Urk. 8/59/3 Ziff. 1) und diagnostizierte eine chronische posttraumatische BelastungsstÃ¶rung mit depressiven Symptomen sowie ein Schmerzsyndrom der HalswirbelsÃ¤ule, welche sich beide auf die ArbeitsfÃ¤higkeit auswirkten (Urk. 8/59/3 Ziff. 2). Zum Umfang der Arbeitsbelastbarkeit machte Dr. C.___ keine Angaben, jedoch erachtete er das Konzentrations-, AuffassungsvermÃ¶gen und die AnpassungsfÃ¤higkeit der BeschwerdefÃ¼hrerin als leicht und ihre Belastbarkeit als mittelgradig eingeschrÃ¤nkt. Betreffend die ArbeitsfÃ¤higkeit als Hausfrau mÃ¼sste jemand von der Beschwerdegegnerin vor Ort die praktische LeistungsfÃ¤higkeit im Alltag prÃ¼fen (Urk. 8/59/3 Ziff. 3).</w:t>
      </w:r>
    </w:p>
    <w:p>
      <w:r>
        <w:t>4.Â Â Â Â Â Â</w:t>
      </w:r>
    </w:p>
    <w:p>
      <w:r>
        <w:t>4.1Â Â Â Â  Aus den genannten Ã¤rztlichen Beurteilungen geht hervor, dass die BeschwerdefÃ¼hrerin weiterhin und im Wesentlichen in psychischer Hinsicht in ihrer Gesundheit beeintrÃ¤chtigt ist. Der Einfluss der neu nach Mai 2001 erhobenen somatischen Befunde fÃ¤llt dagegen kaum ins Gewicht.</w:t>
      </w:r>
    </w:p>
    <w:p>
      <w:r>
        <w:t>Die im Bericht vom 24. Februar 2005 von Dr. med. F.___ (Urk. 8/64/1) erwÃ¤hnten somatischen Diagnosen fanden im Bericht von Dr. E.___ vom 21. Juni 2005 Eingang (vgl. Urk. 8/58/5, Urk. 8/58/2 lit. D.6). Dabei Ã¤usserte sich ausschliesslich Dr. E.___ zu den Auswirkungen der Diagnosen auf die ArbeitsfÃ¤higkeit. Da sie zur Hauptsache die depressive Symptomatik als einschrÃ¤nkend erachtete und zur Festsetzung der ArbeitsfÃ¤higkeit auf den behandelnden Psychiater Dr. C.___ verwies, ist anzunehmen, dass sie die Auswirkungen der somatischen Befunde auf die ArbeitsfÃ¤higkeit als vernachlÃ¤ssigbar gering einstufte. Auf die EinschÃ¤tzung von Dr. E.___ ist abzustellen. So ist ihr Bericht umfassend, berÃ¼cksichtigt sowohl die geklagten Beschwerden als auch die Vorakten in somatischer Hinsicht und in der BegrÃ¼ndung seiner Schlussfolgerungen einleuchtend. Die Ãrztin hat die BeschwerdefÃ¼hrerin selber untersucht und liefert eine eigene EinschÃ¤tzung der Situation. Daher erfÃ¼llt ihr Bericht die beweisrechtlichen Anforderungen bezÃ¼glich Verwertbarkeit (siehe vorstehend Erw. 1.8) vollumfÃ¤nglich. Daran vermag der MRI-Befund vom 2. September 2005 (Urk. 8/74) nichts zu Ã¤ndern, zumal er gegenÃ¼ber jenem vom Februar 2005 - entgegen den AusfÃ¼hrungen der BeschwerdefÃ¼hrerin (Urk. 1 S. 10 Ziff. 9) - keine wesentlichen neuen Erkenntnisse bringt. DemgemÃ¤ss sind auch in somatischer Hinsicht keine zusÃ¤tzlichen AbklÃ¤rungen angezeigt.</w:t>
      </w:r>
    </w:p>
    <w:p>
      <w:r>
        <w:t>4.2Â Â Â Â  Die psychische Problematik besteht unbestrittenermassen seit Februar 1998 und schrÃ¤nkt die BeschwerdefÃ¼hrerin in ihrer LeistungsfÃ¤higkeit ein. Obwohl anderslautende Diagnosen gestellt wurden, beschrieben die Ãrzte einen im Wesentlichen Ã¤hnlichen Sachverhalt. Auch die von der BeschwerdefÃ¼hrerin angefÃ¼hrte (Urk. 1 S. 9 f.) und von Dr. B.___ und Dr. C.___ neu diagnostizierte Chronifizierung der Leiden und schlechte Prognose (vgl. Urk. 8/44 S. 6 Ziff. 2, Urk. 8/59/3 Ziff. 1) sprechen nicht fÃ¼r eine wesentliche Verschlechterung des Gesundheitszustandes, da keine weitergehenden EinschrÃ¤nkungen damit einhergehen.</w:t>
      </w:r>
    </w:p>
    <w:p>
      <w:r>
        <w:t>Dr. B.___ fÃ¼hrte in seinem Bericht vom 23. Mai 2003 aus, dass die von ihm beschriebenen psychiatrischen StÃ¶rungen (chronische posttraumatischen BelastungsstÃ¶rung, mittelgradige depressvie Episode als psychoreaktive StÃ¶rungen zu beurteilen seien. Die Reaktion beziehe sich vor allem auf das Massaker von Likoshan am 28. Februar 1998. Eine weitere Rolle spiele der kranke Ehemann, der bereits vor dem genannten Ereignis eine Belastung gewesen sei (Urk. 8/44 S. 5 unten). Die von Dr. B.___ gestellten Diagnosen sind nachvollziehbar, basieren jedoch im Wesentlichen auf dem gleichen Sachverhalt, welcher bereits der VerfÃ¼gung vom 8. Mai 2001 zugrunde lag. Schon damals handelte es sich - wie dies nun von Dr. B.___ beschrieben wird - um das ÂVorhandensein von Symptomen des WiedererlebensÂ aufgrund des Ereignisses des Massakers von AngehÃ¶rigen im Kosovo in Form des intensiven psychischen Leidens, wenn die BeschwerdefÃ¼hrerin von dem Ereignis erzÃ¤hlt und ihrer Fixierung auf dasselbe (vgl. Urk. 8/44 S. 5 Mitte). So nannte Dr. C.___ in seinen Berichten vom 27. Januar 2000 (Urk. 8/5) und vom 26. MÃ¤rz 2001 (Urk. 8/15) als Diagnose ein depressives Syndrom mit Hoffnungslosigkeit, Verzweiflung, neurasthenischen-vegetativen Symptomen, Antriebslosigkeit bzw. mit Gedankenkreisen um das Massaker und ihre Familienmitglieder, SchlafstÃ¶rungen und angedeuteten Flashbacks. Ein Vergleich zwischen den nachvollziehbaren Beurteilungen von Dr. C.___ und Dr. B.___ zeigt, dass das psychische Krankheitsbild keine erheblichen VerÃ¤nderungen aufweist und keine essentielle Verschlechterung des Gesundheitszustandes eingetreten ist.</w:t>
      </w:r>
    </w:p>
    <w:p>
      <w:r>
        <w:t>Dass Dr. B.___ bei gegenÃ¼ber der VerfÃ¼gung vom 8. Mai 2001 im Wesentlichen gleichem Sachverhalt eine ArbeitsunfÃ¤higkeit von 66 2/3 % attestierte, ist nicht nachvollziehbar. So wies er in seinem Bericht ausdrÃ¼cklich darauf hin, dass es ihm Schwierigkeiten bereite, die ArbeitsfÃ¤higkeit valide zu beziffern (Urk. 8/44 S. 6 oben). Dass er dann trotzdem eine prozentgenaue Angabe der ArbeitsfÃ¤higkeit anfÃ¼hrte, spricht daher vielmehr dafÃ¼r, dass er sich bei seiner SchÃ¤tzung auch von versicherungsrechtlichen Ãberlegungen leiten liess.</w:t>
      </w:r>
    </w:p>
    <w:p>
      <w:r>
        <w:t>Bei der Beurteilung durch Dr. B.___ handelt es sich mithin lediglich um eine andere EinschÃ¤tzung der ArbeitsfÃ¤higkeit bei im Wesentlichen gleichem Sachverhalt, die zudem zu den wiederholten und als solchen nachvollziehbaren Angaben des behandelnden Psychiaters Dr. C.___ (Urk. 8/5, Urk. 8/15, Urk. 8/59) im Widerspruch steht. Auch aus den letzten konkreten AusfÃ¼hrungen von Dr. C.___ (Urk. 8/59/3 Ziff. 2) lÃ¤sst sich keine bezifferbare und erhebliche Verschlechterung ableiten.</w:t>
      </w:r>
    </w:p>
    <w:p>
      <w:r>
        <w:t>Schliesslich ist darauf hinzuweisen, dass die weitere durch den Ehemann der BeschwerdefÃ¼hrerin hervorgerufene Belastung als psychosozialer und damit als invaliditÃ¤tsfremder Faktor zu werten ist. Insofern liegt lediglich eine unterschiedliche Beurteilung eines im Wesentlichen unverÃ¤ndert gebliebenen Sachverhaltes vor.</w:t>
      </w:r>
    </w:p>
    <w:p>
      <w:r>
        <w:t>4.3Â Â Â Â Â Â Â Â  Zusammengefasst ist festzuhalten, dass bei der BeschwerdefÃ¼hrerin keine Verschlechterung des Gesundheitszustandes gegenÃ¼ber der letzten rentenabweisenden VerfÃ¼gung vom 8. Mai 2001 (Urk. 8/15) ausgewiesen ist. Mithin ist gestÃ¼tzt auf die Beurteilung von Dr. C.___ von einer ArbeitsunfÃ¤higkeit von 30 % in den HaushaltstÃ¤tigkeiten sowie in den Anforderungen im Haushalt entsprechenden, leidensangepassten TÃ¤tigkeiten auszugehen.</w:t>
      </w:r>
    </w:p>
    <w:p>
      <w:r>
        <w:t>Die Beantwortung der Statusfrage kann an dieser Stelle offen bleiben, da auch dann kein rentenbegrÃ¼ndender InvaliditÃ¤tsgrad resultiert, wenn - wie im Folgenden zu zeigen ist - den Vorbringen der BeschwerdefÃ¼hrerin gefolgt (Urk. 1 S. 10 Ziff. 10) und diese als zu 50 % TeilerwerbstÃ¤tige qualifiziert wÃ¼rde.</w:t>
      </w:r>
    </w:p>
    <w:p>
      <w:r>
        <w:rPr>
          <w:b/>
        </w:rPr>
        <w:t>E. 5</w:t>
      </w:r>
    </w:p>
    <w:p>
      <w:r>
        <w:t>5.1Â Â Â Â  Zu prÃ¼fen bleibt, wie sich, bei Annahme einer TeilerwerbstÃ¤tigkeit von 50 %, die eingeschrÃ¤nkte LeistungsfÃ¤higkeit der BeschwerdefÃ¼hrerin in erwerblicher Hinsicht auswirkt.</w:t>
      </w:r>
    </w:p>
    <w:p>
      <w:r>
        <w:t>FÃ¼r den Einkommensvergleich ist dabei auf die Gegebenheiten zum Zeitpunkt des hypothetischen Rentenbeginns abzustellen (BGE 128 V 174 F. Erw. 4a.). Mithin wird ohne weitere PrÃ¼fung auf das Jahr 2005 abgestellt, da die BeschwerdefÃ¼hrerin ab Schuleintritt des jÃ¼ngsten Kindes, geboren Januar 1998, den Revisionsgrund der Arbeitsaufnahme geltend macht.</w:t>
      </w:r>
    </w:p>
    <w:p>
      <w:r>
        <w:t>5.2Â Â Â Â  Sowohl zur Ermittlung des Validen- als auch des Invalideneinkommens sind, da die BeschwerdefÃ¼hrerin nie erwerbstÃ¤tig war (Urk. 8/1 Ziff. 6.3 f., Urk. 8/56 Ziff. 6.3.1, Urk. 8/57, Urk. 8/44 S. 3 unten), die TabellenlÃ¶hne gemÃ¤ss den vom Bundesamt fÃ¼r Statistik periodisch herausgegebenen Lohnstrukturerhebungen (LSE) heranzuziehen (vgl. AHI 1999 S. 240 Erw. 3b, BGE 126 V 76 f. Erw. 3b/aa und bb, vgl. auch BGE 129 V 476 Erw. 4.2.1 mit Hinweis).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In Anbetracht des Umstandes, dass die BeschwerdefÃ¼hrerin nur Ã¼ber eine rudimentÃ¤re Schulbildung und Ã¼ber keine Berufsausbildung verfÃ¼gt (Urk. 8/1 Ziff. 6), ist jeweils auf den mittleren Lohn fÃ¼r Frauen, die einfache und repetitive TÃ¤tigkeiten ausfÃ¼hren, abzustellen (LSE 2004, Bundesamt fÃ¼r Statistik, Neuenburg 2006, TA1, Total, Niveau 4). Dieser belief sich 2004 auf monatlich Fr. 3Â893.--.</w:t>
      </w:r>
    </w:p>
    <w:p>
      <w:r>
        <w:t>5.3Â Â Â Â  Unter BerÃ¼cksichtigung einer durchschnittlichen wÃ¶chentlichen Arbeitszeit von 41.6 Stunden, einer Nominallohnentwicklung von 1.0 % (Die Volkswirtschaft 5-2008 S. 87, Tab. B10.2) und eines erwerblichen Anteils von 50 % ergibt dies ein hypothetisches Valideneinkommen von Fr. 24Â535.-- im Jahr 2005 (Fr. 3Â893.-- : 40 x 41.6 x 1.01 x 0.5 x 12).</w:t>
      </w:r>
    </w:p>
    <w:p>
      <w:r>
        <w:t>5.4Â Â Â Â Â Â Â Â  Auszugehen ist von einer ArbeitsfÃ¤higkeit von 70 % in leidensangepasster TÃ¤tigkeit. Somit ist dem angenommenen Status einer hÃ¤lftigen ErwerbstÃ¤tigkeit entsprechend von einer ArbeitsfÃ¤higkeit von 50 % auszugehen. Wird sodann bei der Ermittlung des Invalideneinkommens - zugunsten der BeschwerdefÃ¼hrerin und ohne weitere PrÃ¼fung - ein Abzug vom Tabellenlohn von 10 % vorgenommen (vorstehend Erw. 1.6), so resultiert, nach Anpassung an die betriebsÃ¼bliche Arbeitszeit von 41.6 Stunden pro Woche und einer NominallohnerhÃ¶hung von 1.0 %, ein Invalideneinkommen von Fr. 22Â082.-- im Jahr 2005 (Fr. 3'893.-x 12: 40 x 41.6 x 1.01 x 0.9 x 0.5).</w:t>
      </w:r>
    </w:p>
    <w:p>
      <w:r>
        <w:t>Vergleicht man das Valideneinkommen von Fr. 24Â535.-- mit dem Invalideneinkommen von Fr. 22Â082.--, betrÃ¤gt die Einkommenseinbusse Fr. 2'453.--, was einem InvaliditÃ¤tsgrad von 10 % entspricht.</w:t>
      </w:r>
    </w:p>
    <w:p>
      <w:r>
        <w:t>5.5Â Â Â Â  Nach der gemischten Methode der InvaliditÃ¤tsbemessung wird bei der Bemessung der GesamtinvaliditÃ¤t die InvaliditÃ¤t im erwerblichen Bereich mit dem Anteil des hypothetischen Teilarbeitspensums gewichtet und die InvaliditÃ¤t im Aufgabenbereich mit dem Anteil der TÃ¤tigkeit im Haushalt gewichtet (vorstehend Erw. 1.5).</w:t>
      </w:r>
    </w:p>
    <w:p>
      <w:r>
        <w:t>Geht man von der ermittelten EinschrÃ¤nkung von 30 % im Haushaltsbereich aus, resultiert beim Anteil von 50 % (vorstehend Erw. 4.3) ein anteiliger InvaliditÃ¤tsgrad im Haushaltsbereich von 15 % (30 % x 0.5). Beim Erwerbspensum von ebenfalls 50 % ergibt dies einen anteiligen InvaliditÃ¤tsgrad von 5 % fÃ¼r den Erwerbsbereich (10 % x 0.5). Addiert man die TeilinvaliditÃ¤tsgrade von vorliegend 5 % im Erwerbsbereich und 15 % im Haushaltsbereich, so ergibt sich demnach ein rentenausschliessender InvaliditÃ¤tsgrad von 20 %, was keinen Anspruch auf eine Invalidenrente begrÃ¼ndet.</w:t>
      </w:r>
    </w:p>
    <w:p>
      <w:r>
        <w:t>6.Â Â Â Â Â Â  Im Ergebnis ist daher nicht zu beanstanden, dass die Beschwerdegegnerin mit Einspracheentscheid vom 2. Februar 2007 (Urk. 2) einen Anspruch der BeschwerdefÃ¼hrerin auf eine Invalidenrente mangels einer im revisionsrechtlichen Sinne erheblichen VerÃ¤nderung der gesundheitlichen VerhÃ¤ltnisse verneinte. Die gegen den angefochtenen Einspracheentscheid vom 2. Februar 2007 erhobene Beschwerde ist daher abzuweisen.</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geltenden Fassung) und auf Fr. 900.-- anzusetzen. Entsprechend dem Ausgang des Verfahrens sind sie der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Â Â  Zustellung gegen Empfangsschein an:</w:t>
      </w:r>
    </w:p>
    <w:p>
      <w:r>
        <w:t>- Rechtsanwalt Dominique Chopard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