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IV.2007.00145 vom 23. September 2008</w:t>
      </w:r>
    </w:p>
    <w:p>
      <w:r>
        <w:t>ZH Sozialversicherungsgericht, 2008-09-23, DE</w:t>
      </w:r>
    </w:p>
    <w:p>
      <w:r>
        <w:rPr>
          <w:b/>
        </w:rPr>
        <w:t xml:space="preserve">Quelle: </w:t>
      </w:r>
      <w:r>
        <w:t>https://mcp.opencaselaw.ch/entscheid/zh_sozialversicherungsgericht_IV.2007.00145</w:t>
      </w:r>
    </w:p>
    <w:p>
      <w:r>
        <w:t>FR: ZH_SOZIALVERSICHERUNGSGERICHT IV.2007.00145 du 23 septembre 2008</w:t>
      </w:r>
    </w:p>
    <w:p>
      <w:r>
        <w:t>IT: ZH_SOZIALVERSICHERUNGSGERICHT IV.2007.00145 del 23 settembre 2008</w:t>
      </w:r>
    </w:p>
    <w:p>
      <w:pPr>
        <w:pStyle w:val="Heading2"/>
      </w:pPr>
      <w:r>
        <w:t>Erwägungen</w:t>
      </w:r>
    </w:p>
    <w:p>
      <w:r>
        <w:rPr>
          <w:b/>
        </w:rPr>
        <w:t>E. 1</w:t>
      </w:r>
    </w:p>
    <w:p>
      <w:r>
        <w:t>1.1Â Â Â Â  GemÃ¤ss Â§ 19 Abs. 3 des Gesetzes Ã¼ber das Sozialversicherungsgericht (GSVGer) kann nach einem ersten ein weiterer Schriftenwechsel angeordnet werden. Ein solcher Anspruch besteht jedoch nur, wenn in der Beschwerdeantwort neue Vorbringen gemacht werden (Christian ZÃ¼nd, Kommentar zum Gesetz Ã¼ber das Sozialversicherungsgericht des Kantons ZÃ¼rich, ZÃ¼rich 1999, N 9 zu Â§ 19).</w:t>
      </w:r>
    </w:p>
    <w:p>
      <w:r>
        <w:t>Â Â Â Â Â Â Â Â Â  Die Beschwerdegegnerin hat auf die Einreichung einer Beschwerdeantwort verzichtet und nur die Abweisung der Beschwerde beantragt (Urk. 6). Sodann sind die Akten der BeschwerdefÃ¼hrerin hinreichend bekannt. Demzufolge erÃ¼brigt sich die DurchfÃ¼hrung eines weiteren Schriftenwechsels; auf die DurchfÃ¼hrung einer Ã¶ffentlichen Verhandlung hat die BeschwerdefÃ¼hrerin sodann verzichtet (Urk. 14).</w:t>
      </w:r>
    </w:p>
    <w:p>
      <w:r>
        <w:t>1.2Â Â Â Â  Zu prÃ¼fen ist der Rentenanspruch der BeschwerdefÃ¼hrerin ab 1. November 2001, nachdem das Gericht diese Frage zur weiteren AbklÃ¤rung und NeuverfÃ¼gung an die Verwaltung zurÃ¼ckgewiesen und diese am 2. September 2005 einen neuen Rentenentscheid zunÃ¤chst verfÃ¼gungsweise, dann mittels Einspracheentscheid erlassen hat.</w:t>
      </w:r>
    </w:p>
    <w:p>
      <w:r>
        <w:t>Â Â Â Â Â Â Â Â Â  Eine Aufhebung dieses Einspracheentscheids (Urk. 2), der der Versicherten am 13. Dezember 2006 zugestellt wurde, aus verfahrensrechtlichen GrÃ¼nden ist nicht angezeigt. Es ist zwar richtig, dass dieser papiermÃ¤ssig aus mehreren Teilen besteht und ein einheitliches Datum des Einspracheentscheids nicht erkennbar ist. Einzig die von der IV-Stelle beigelegten VerfÃ¼gungen vom 5. und 11. Dezember 2006 Ã¼ber die Rentenbetreffnisse der strittigen ZeitrÃ¤ume weisen ein Datum auf. Der Einspracheentscheid enthÃ¤lt jedoch eine Rechtsmittelbelehrung und ist im Detail begrÃ¼ndet, insbesondere wurden der InvaliditÃ¤tsgrad und die medizinischen VerhÃ¤ltnisse gut erlÃ¤utert. Aus der BegrÃ¼ndung des Einspracheentscheids und der Kombination mit den zum integrierten Bestandteil erklÃ¤rten VerfÃ¼gungen zu den Rentenbetreffnissen (vgl. Art. 57 Abs. 2 lit. e und Art. 60 Abs. 1 lit. b des Bundesgesetzes Ã¼ber die Invalidenversicherung) geht somit klar hervor, dass die BeschwerdefÃ¼hrerin auf der Basis eines InvaliditÃ¤tsgrades von 100 % ab 1. November 2001 eine monatliche Rente von Fr. 593.--, ab 1. Januar 2003 von Fr. 608.-- und vom 1. Januar 2005 bis 31. Mai 2006 von Fr. 619.-- und jeweils verschiedene Zusatzrenten erhÃ¤lt. Ab 1. Juni 2006 wurde bei einem InvaliditÃ¤tsgrad von 57 % noch eine monatliche Rente von Fr. 310.--, zuzÃ¼glich Zusatzrenten, zugesprochen. Damit enthÃ¤lt der Entscheid alle Elemente, die es der BeschwerdefÃ¼hrerin erlauben, fristgerecht und in Kenntnis der BegrÃ¼ndung Beschwerde einzureichen. Auch die Ã¼brigen verfahrensmÃ¤ssigen EinwÃ¤nde der BeschwerdefÃ¼hrerin fÃ¼hren nicht zu einer Aufhebung des Einspracheentscheids aus formellen GrÃ¼nden.</w:t>
      </w:r>
    </w:p>
    <w:p>
      <w:r>
        <w:t>Â Â Â Â Â Â Â Â Â  Das Rechtsbegehren 1 der BeschwerdefÃ¼hrerin ist somit abzuweisen und der Entscheid auf seine materielle Richtigkeit hin zu prÃ¼fen.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vor dem 1. Januar 2008 ergangen ist,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GemÃ¤ss Art. 28 Abs. 1 IVG (in der bis zum 31. Dezember 2003 gÃ¼ltig gewesenen Fassung) haben Versicherte Anspruch auf eine ganze Rente, wenn sie mindestens zu 66 2/3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w:t>
      </w:r>
    </w:p>
    <w:p>
      <w:r>
        <w:t>3.1Â Â Â Â  AnlÃ¤sslich der Begutachtung durch Prof. Dr. B.__ und Dr. C.___ klagte die BeschwerdefÃ¼hrerin Ã¼ber Schmerzen im rechten Fuss bei Ruhe und bei Belastung sowie Ã¼ber lumbale Schmerzen. Nach einer eigenen Untersuchung der Versicherten, einer umfassenden Zusammenfassung der bestehenden Akten, der Veranlassung eigener RÃ¶ntgenuntersuchungen und nach Diskussion der Resultate mit Dr. C.__ resÃ¼mierte der Gutachter Prof. Dr. B.___, die Versicherte habe ein Quetschtrauma des rechten Fusses mit einer proximalen Fraktur Metatarsalia IV und V erlitten, die trotz der Operationen Beschwerden verursache, vor allem bei Belastung. Im Laufe des Jahres 2001 seien lumbale Beschwerden mit Ausstrahlung ins rechte Bein aufgetreten, die auf die Fehlhaltung und Fehlbelastung zurÃ¼ckgefÃ¼hrt wÃ¼rden. Im Jahre 2002 sodann sei eine zunehmend stÃ¤rkere Depression geschildert worden. Der Gutachter diagnostizierte Fussschmerzen rechts, ein chronisches lumbospondylogenes Syndrom rechts, ein chronisch zervikospondylogenes Syndrom und eine generalisierte AngststÃ¶rung und unter Antidepressiva teilremittierte Depression. Die geklagten EinschrÃ¤nkungen bezÃ¼glich Gehen und Stehen seien aufgrund der Befunde nachvollziehbar, die Ruheschmerzen indessen nicht. FÃ¼r die angestammte TÃ¤tigkeit, die zwar eine leichte TÃ¤tigkeit mit hÃ¤ufigen Positionswechseln und Tragen von Gewichten unter 5 kg sei, die aber ausschliesslich gehend beziehungsweise stehend verrichtet werden mÃ¼sse, bestehe eine 100%ige ArbeitsunfÃ¤higkeit. FÃ¼r eine TÃ¤tigkeit in sitzender Position mit der MÃ¶glichkeit zu intermittierendem kurzem Aufstehen bestehe eine 50%ige ArbeitsfÃ¤higkeit (halbtags). Die psychische VerÃ¤nderung erklÃ¤re die IntensitÃ¤t der Schmerzen, die aus klinischer und radiologischer Sicht zu hoch erscheine.</w:t>
      </w:r>
    </w:p>
    <w:p>
      <w:r>
        <w:t>Â Â Â Â Â Â Â Â Â  Der Gutachter kam zum Schluss, dass etwa seit 2003 ein immer etwa gleichbleibender Zustand bestehe (Urk. 7/131/39). Weil jedoch vor 2005 Ã¤rztlicherseits noch immer an eine Besserung geglaubt worden sei, sei die 50%ige ArbeitsfÃ¤higkeit in einer VerweisungstÃ¤tigkeit erst ab dem Zeitpunkt der Begutachtung gegeben (Urk. 7/131/43).</w:t>
      </w:r>
    </w:p>
    <w:p>
      <w:r>
        <w:t>3.2Â Â Â Â  Das Gutachten erweist sich als sorgfÃ¤ltig erarbeitet und als schlÃ¼ssig und Ã¼berzeugend begrÃ¼ndet. Es wurde -Â  wie vom Gericht verlangt - in BerÃ¼cksichtigung der psychischen wie auch der somatischen gesundheitlichen BeeintrÃ¤chtigungen von den entsprechenden FachÃ¤rzten erstellt und die Resultate wurden von beiden FachÃ¤rzten besprochen. Das Gutachten war sodann auch in Ãbereinstimmung beider Parteien veranlasst worden. Die BeschwerdefÃ¼hrerin zeigte sich im Anschluss an das Gutachten mit der medizinischen EinschÃ¤tzung und der Darstellung der Sachlage sowohl gegenÃ¼ber der Beschwerdegegnerin als auch gegenÃ¼ber dem Unfallversicherer explizit einverstanden (Urk. 7/132, 7/134/2). Es besteht auch fÃ¼r das Gericht kein Anlass, die Sachlage bis zum Zeitpunkt der Erstellung des Gutachtens im Juni 2005 anders einzuschÃ¤tzen, erfÃ¼llt das Gutachten doch sÃ¤mtliche von der Rechtsprechung (BGE 125 V 352 Erw. 3a, 122 V 160 Erw. 1c) aufgestellten Kriterien eines Ã¼berzeugenden Gutachtens. Entgegen den heute von der BeschwerdefÃ¼hrerin geÃ¤usserten EinwÃ¤nden besteht keine Veranlassung, die Schmerzsituation noch zusÃ¤tzlich abklÃ¤ren zu lassen. Denn die untersuchenden Ãrzte haben dem Schmerzerleben der Versicherten bei der Beurteilung sehr wohl Rechnung getragen, indem anerkannt wurde, dass dieses eigenstÃ¤ndig zu einer psychischen StÃ¶rung mit Krankheitswert gefÃ¼hrt habe (Urk. 1 S. 25, 7/131/54).Â Â Â</w:t>
      </w:r>
    </w:p>
    <w:p>
      <w:r>
        <w:t>3.3Â Â Â Â  Im Rahmen des Einspracheverfahrens Mitte August 2005 traten gemÃ¤ss Darstellung des Hausarztes Dr. med. D.__ akute Beschwerden im Sinne eines lumbospondylogenen-lumboradikulÃ¤ren Syndroms auf (Urk. 7/167/1), deren Ursache eine voluminÃ¶se Diskushernie L5/S1 mit Kompression der Wurzel S1 (Urk. 7/189/5) war und die zu einer fast vollstÃ¤ndigen Immobilisation der Versicherten fÃ¼hrten. Die Versicherte wurde in der F.___ am 29. Dezember 2005 operiert und die Diskushernie dabei entfernt (Urk. 7/181). Nach der Operation und bereits im Bericht vom 10. Februar 2006 berichteten die Ãrzte der F.__, die Versicherte habe keine Beinschmerzen rechts mehr, das Resultat der Operation sei sehr erfreulich, und sie schlossen die Behandlung ab (Urk. 7/187/4, 7/189/9).</w:t>
      </w:r>
    </w:p>
    <w:p>
      <w:r>
        <w:t>Â Â Â Â Â Â Â Â Â  Dr. med. G.__ vom RAD erhob anlÃ¤sslich seiner Untersuchung der Versicherten vom 17. Mai 2006 eine leicht eingeschrÃ¤nkte und schmerzhafte Beweglichkeit der HalswirbelsÃ¤ule. Die LendenwirbelsÃ¤ule war bei Inklination leicht eingeschrÃ¤nkt, die RÃ¼ckenmuskulatur im Nacken- wie im LendenwirbelsÃ¤ulenbereich war verhÃ¤rtet und druckschmerzhaft. Auch das rechte Sprunggelenk war in der Beweglichkeit zur HÃ¤lfte eingeschrÃ¤nkt. Die Versicherte zeigte einen hinkenden Gang unter starker Entlastung des rechten Beines und klagte Ã¼ber SensibilitÃ¤tseinschrÃ¤nkungen am dritten bis fÃ¼nften Finger links. Dr. G.__ stellte die Diagnosen eines lumbospondylogenen Syndroms rechts, von Fussschmerzen rechts nach Quetschtrauma, eines chronisch rezidivierenden zerviko-brachialen Syndroms links und eines Carpaltunnelsyndromes links. Er hielt abschliessend fest, es seien noch leichte Restbefunde der Diskushernienoperation vorhanden, ansonsten seien die Befunde die gleichen wie bei der Begutachtung in der E.__. Es sei von einer kurzfristig aufgetretenen Verschlechterung der Situation auszugehen, also von einer solchen vom 17. August 2005 bis zum 9. Februar 2006. In dieser Zeit sei von einer gÃ¤nzlichen ArbeitsunfÃ¤higkeit auch fÃ¼r eine angepasste TÃ¤tigkeit auszugehen. Ab 9. Februar 2006 sei von einer wiederum vorhandenen 50%igen ArbeitsfÃ¤higkeit in einer behinderungsangepassten TÃ¤tigkeit auszugehen, wofÃ¼r auf die AusfÃ¼hrungen im Gutachten vom 24. Juni 2005 verwiesen werden kÃ¶nne (Urk. 7/196/5).</w:t>
      </w:r>
    </w:p>
    <w:p>
      <w:r>
        <w:t>3.4Â Â Â Â  Auch dieser EinschÃ¤tzung kann in allen Punkte gefolgt werden. Dr. G.__ hatte die BeschwerdefÃ¼hrerin selber untersucht und gezielt nach den VerÃ¤nderungen seit dem umfassenden Gutachten geforscht. Die BeschwerdefÃ¼hrerin selber bringt keine substantiierten EinwÃ¤nde gegen diese Untersuchung vor (Urk. 1).</w:t>
      </w:r>
    </w:p>
    <w:p>
      <w:r>
        <w:t>3.5Â Â Â Â  Zusammenfassend kann daher festgestellt werden, dass der BeschwerdefÃ¼hrerin ihre angestammte TÃ¤tigkeit seit dem Unfall vom 28. Mai 1999 nicht mehr zumutbar ist, dass aber in einer sitzenden TÃ¤tigkeit mit der MÃ¶glichkeit von zeitweisem Aufstehen eine 50%ige ArbeitsfÃ¤higkeit besteht. Entgegen der Ansicht der BeschwerdefÃ¼hrerin fÃ¼hren die gelegentlichen kleinen Pausen keineswegs zu einer zusÃ¤tzlichen 10%igen EinschrÃ¤nkung, so dass nur von einer 40%igen ArbeitsunfÃ¤higkeit auszugehen wÃ¤re.</w:t>
      </w:r>
    </w:p>
    <w:p>
      <w:r>
        <w:t>Â Â Â Â Â Â Â Â Â  Wenn sodann die Beschwerdegegnerin diese 50%ige ArbeitsfÃ¤higkeit erst ab Februar 2006 berÃ¼cksichtigt und fÃ¼r die Zeit davor eine durchgehende 100%ige ArbeitsunfÃ¤higkeit annimmt, ist das sicher als grosszÃ¼gig zu bezeichnen.</w:t>
      </w:r>
    </w:p>
    <w:p>
      <w:r>
        <w:rPr>
          <w:b/>
        </w:rPr>
        <w:t>E. 4</w:t>
      </w:r>
    </w:p>
    <w:p>
      <w:r>
        <w:t>4.1Â Â Â Â  Die Versicherte war vor dem Unfall seit 1996 bei der A.___vollzeitlich als Lagermitarbeiterin tÃ¤tig. Es ist davon auszugehen, dass sie im Gesundheitsfall dort geblieben wÃ¤re, weshalb das dortige hypothetische Einkommen als Valideneinkommen massgeblich ist. Die damalige Arbeitgeberin legte in einem Schreiben vom 5. August 2005 dar, die Versicherte hÃ¤tte im BeschÃ¤ftigungsfall im Jahr 2004 Fr. 3'863.-- und 2005 monatlich Fr. 3'920.-- verdient. Sie legte offen, wie die Versicherte ab 1999 bis 2005 eine kontinuierliche Steigerung von Fr. 3'600.-- bis zu den erwÃ¤hnten Fr. 3'920.-- mitgemacht hÃ¤tte (Urk. 7/138/2). Aus den von der BeschwerdefÃ¼hrerin eingereichten Unterlagen zu den Lohnbekanntgaben, die die A.___ jÃ¤hrlich der Presse gegenÃ¼ber gemacht hat, geht nichts anderes hervor. Vielmehr wird bestÃ¤tigt, dass beispielsweise auf das Jahr 2001 hin ein genereller Lohnzuschlag von Fr. 50.-- erteilt wurde (Urk. 3/120, Neue Luzerner Zeitung), was sich auch aus den Arbeitgeberangaben ergibt (Urk. 7/138/2). Weitere strukturelle LohnerhÃ¶hungen (Urk. 1 S. 34) sind nicht vorzunehmen. Daraus ergibt sich fÃ¼r das Jahr 2005 ein Valideneinkommen von Fr. 50'960.--.</w:t>
      </w:r>
    </w:p>
    <w:p>
      <w:r>
        <w:rPr>
          <w:b/>
        </w:rPr>
        <w:t>E. 4.2</w:t>
      </w:r>
    </w:p>
    <w:p>
      <w:r>
        <w:t>4.2.1Â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4.2.2Â Â  GemÃ¤ss der LSE 2004 betrug der Verdienst der Frauen fÃ¼r einfache und repetitive TÃ¤tigkeiten Fr. 3'893.--, was unter BerÃ¼cksichtigung der wÃ¶chentlichen Arbeitszeit im Jahr 2005 von 41,6 Stunden und der Nominallohnentwicklung der LÃ¶hne der Frauen zwischen 2004 und 2005 von 1,1 % (Tabelle T.1.2.93 der Lohnentwicklung 2005 des Bundesamtes fÃ¼r Statistik) bei einem Pensum von 50 % einen Jahreslohn der Versicherten von Fr. 24'559.-- ergibt.</w:t>
      </w:r>
    </w:p>
    <w:p>
      <w:r>
        <w:t>Â Â Â Â Â Â Â Â Â  Die Beschwerdegegnerin hatte einen Abzug beim Invalideneinkommen von 10 % vorgenommen (Urk. 7/140) vor allem fÃ¼r die Annahme, dass die BeschwerdefÃ¼hrerin in Anbetracht einer gewissen reduzierten EinsatzfÃ¤higkeit fÃ¼r nur vorwiegend sitzende leichte TÃ¤tigkeiten einen Lohnnachteil in Kauf zu nehmen habe. Eine grosse EinschrÃ¤nkung der Versicherten, die sÃ¤mtliche sitzenden TÃ¤tigkeiten (zum Beispiel Kontroll- und SortiertÃ¤tigkeiten) ausfÃ¼hren kann, besteht nicht. Eine solche bewirkt auch die Notwendigkeit, ab und zu aufzustehen, nicht. Sodann verdienen teilzeitlich arbeitende Frauen gemÃ¤ss der Schweizerischen Lohnstrukturerhebung 2004 des Bundesamtes fÃ¼r Statistik (S. 24) sogar bis zu 12 % mehr als ihre vollzeitlich arbeitenden Kolleginnen, so dass aus diesem Grund keine Reduktion fÃ¼r die Teilzeitarbeit gerechtfertigt ist, ebensowenig fÃ¼r die Tatsache, dass die Versicherte AuslÃ¤nderin ist, hat sie doch zuvor auch einen Lohn bezogen, der keinen Hinweis dafÃ¼r enthÃ¤lt, dass aufgrund des AuslÃ¤nderstatus lohnmÃ¤ssig ein Nachteil besteht. Der gesamthafte Abzug von 10 % ist somit hinreichend und zu bestÃ¤tigen. Daraus ergibt sich den von der Beschwerdegegnerin errechnete InvaliditÃ¤tsgrad von 57 %.</w:t>
      </w:r>
    </w:p>
    <w:p>
      <w:r>
        <w:t>Â Â Â Â Â Â Â Â Â  Nachdem von einer Besserung der gesundheitlichen Situation ab Februar 2006 auszugehen ist, ist nach der Ausrichtung der ganzen Invalidenrente auf der Basis eines InvaliditÃ¤tsgrades von 100 % ab 1. November 2001 unter BerÃ¼cksichtigung von Art. 88a Abs. 1 IVV die halbe Invalidenrente ab 1. Juni 2006 auszurichten und damit der Einspracheentscheid zu bestÃ¤tigen.</w:t>
      </w:r>
    </w:p>
    <w:p>
      <w:r>
        <w:t>4.3Â Â Â Â  Die BeschwerdefÃ¼hrerin verlangt schliesslich die Verzinsung sÃ¤mtlicher Rentenzahlungen vom Zeitpunkt des Bestandes des Anspruchs an (Urk. 1 S. 37). Die Beschwerdegegnerin hat in der VerfÃ¼gung vom 2. September 2005 der BeschwerdefÃ¼hrerin einen VergÃ¼tungszins auf die nachzuzahlenden Rentenleistungen ab 1. Januar 2003 zugesprochen (Urk. 7/145/3). Dieser Streitgegenstand blieb von der Versicherten in ihrer Einsprache unangefochten. Da dieser eigene Streitgegenstand, der vom Anspruch auf die Invalidenrente zu trennen ist (vgl. Urteil des EidgenÃ¶ssischen Versicherungsgerichts vom 5. Dezember 2005 in Sachen R., I 540/05), in der Einsprache ungerÃ¼gt blieb, ist er in Rechtskraft erwachsen, und auf diesen Antrag der Versicherten ist nicht einzutreten.</w:t>
      </w:r>
    </w:p>
    <w:p>
      <w:r>
        <w:t>Â Â Â Â Â Â Â Â Â  Die Beschwerde ist somit abzuweisen, soweit darauf einzutreten ist.</w:t>
      </w:r>
    </w:p>
    <w:p>
      <w:r>
        <w:t>5.Â Â Â Â Â Â  Das Verfahren ist kostenpflichtig (Art. 69 Abs. 1 bis IVG). Die Kosten von Fr. 800.-- sind der BeschwerdefÃ¼hrerin aufzuerlegen.</w:t>
      </w:r>
    </w:p>
    <w:p>
      <w:r>
        <w:t>Das Gericht erkennt:</w:t>
      </w:r>
    </w:p>
    <w:p>
      <w:r>
        <w:t>1.Â Â Â Â Â Â Â Â  Die Beschwerde wird abgewiesen, soweit auf sie eingetreten wird.</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Guido Brusa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 Â Â Â 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