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IV.2006.00803 vom 18. Dezember 2007</w:t>
      </w:r>
    </w:p>
    <w:p>
      <w:r>
        <w:t>ZH Sozialversicherungsgericht, 2007-12-18, DE</w:t>
      </w:r>
    </w:p>
    <w:p>
      <w:r>
        <w:rPr>
          <w:b/>
        </w:rPr>
        <w:t xml:space="preserve">Quelle: </w:t>
      </w:r>
      <w:r>
        <w:t>https://mcp.opencaselaw.ch/entscheid/zh_sozialversicherungsgericht_IV.2006.00803</w:t>
      </w:r>
    </w:p>
    <w:p>
      <w:r>
        <w:t>FR: ZH_SOZIALVERSICHERUNGSGERICHT IV.2006.00803 du 18 décembre 2007</w:t>
      </w:r>
    </w:p>
    <w:p>
      <w:r>
        <w:t>IT: ZH_SOZIALVERSICHERUNGSGERICHT IV.2006.00803 del 18 dicembre 2007</w:t>
      </w:r>
    </w:p>
    <w:p>
      <w:pPr>
        <w:pStyle w:val="Heading2"/>
      </w:pPr>
      <w:r>
        <w:t>Erwägungen</w:t>
      </w:r>
    </w:p>
    <w:p>
      <w:r>
        <w:rPr>
          <w:b/>
        </w:rPr>
        <w:t>E. 4</w:t>
      </w:r>
    </w:p>
    <w:p>
      <w:r>
        <w:t>Â Â Â Â Â  AusgangsgemÃ¤ss sind dem BeschwerdefÃ¼hrer die Gerichtskosten in HÃ¶he von Fr. 600.--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Sozialversicherungsanstalt des Kantons ZÃ¼rich, IV-Stelle</w:t>
      </w:r>
    </w:p>
    <w:p>
      <w:r>
        <w:t>- RechtsanwÃ¤ltin Claudia Mock Eigenmann</w:t>
      </w:r>
    </w:p>
    <w:p>
      <w:r>
        <w:t>- Bundesamt fÃ¼r Sozialversicherungen</w:t>
      </w:r>
    </w:p>
    <w:p>
      <w:r>
        <w:t>Â Â Â Â Â Â Â Â Â Â  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