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IV.2006.00782 vom 29. November 2007</w:t>
      </w:r>
    </w:p>
    <w:p>
      <w:r>
        <w:t>ZH Sozialversicherungsgericht, 2007-11-29, DE</w:t>
      </w:r>
    </w:p>
    <w:p>
      <w:r>
        <w:rPr>
          <w:b/>
        </w:rPr>
        <w:t xml:space="preserve">Quelle: </w:t>
      </w:r>
      <w:r>
        <w:t>https://mcp.opencaselaw.ch/entscheid/zh_sozialversicherungsgericht_IV.2006.00782</w:t>
      </w:r>
    </w:p>
    <w:p>
      <w:r>
        <w:t>FR: ZH_SOZIALVERSICHERUNGSGERICHT IV.2006.00782 du 29 novembre 2007</w:t>
      </w:r>
    </w:p>
    <w:p>
      <w:r>
        <w:t>IT: ZH_SOZIALVERSICHERUNGSGERICHT IV.2006.00782 del 29 novembre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2.3</w:t>
      </w:r>
    </w:p>
    <w:p>
      <w:r>
        <w:t>2.3.1Â Â  Dr. D.___, Chiropraktor SCG/ECU, diagnostizierte in seinem Ã¤rztlichen Zeugnis vom 30. Mai 2005 (Erstbehandlung am 22. Februar 2005) eine BeckenhypermobilitÃ¤t bei Status nach Beckenringfraktur Typ C (vergleiche Urk. 8/35 S. 7, Hospitalisation vom 7. Dezember 1998 bis 15. Januar 1999). Die BeschwerdefÃ¼hrerin leide seit dem Unfall von 1998 an lumbospondylogenen Schmerzen links. Aufgrund der Beschwerden liege keine ArbeitsunfÃ¤higkeit vor (Behandlungsende am 14. April 2005; Urk. 8/35 S. 2 und 3).</w:t>
      </w:r>
    </w:p>
    <w:p>
      <w:r>
        <w:t>2.3.2Â Â  Dr. C.___, Chiropraktor SCG/ECU, diagnostizierte in seinem Bericht vom 22. September 2005 (Erstbehandlung am 15. April 2005) mit Auswirkung auf die ArbeitsfÃ¤higkeit eine ausgeprÃ¤gte BandlaxitÃ¤t, eine gutartige HypermobilitÃ¤t, eine BeckeninstabilitÃ¤t nach Beckenringfraktur Typ C 1998, eine HÃ¼ftfunktionsstÃ¶rung rechts, eine SprunggelenksinstabilitÃ¤t links sowie ahydrose Finger. Ohne Auswirkung auf die ArbeitsfÃ¤higkeit bestehe eine Mammahyperplasie sowie ein Status nach LuxationstrÃ¼mmerfraktur decranon links. Der Zustand der BeschwerdefÃ¼hrerin sei stationÃ¤r schlecht. Bereits die BandlaxitÃ¤t fÃ¼hre bei der Patientin zu Problemen, welche durch den Unfall noch verstÃ¤rkt worden seien. Als Coiffeuse, Hausfrau oder VerkÃ¤uferin sei ab dem 27. Juni 2005 keine TÃ¤tigkeit mehr zuzumuten. In einer behinderungsangepassten TÃ¤tigkeit sei die BeschwerdefÃ¼hrerin noch drei halbe Tage in der Woche arbeitsfÃ¤hig, praktisch sei jedoch keine TÃ¤tigkeit mehr zumutbar (Urk. 8/34).</w:t>
      </w:r>
    </w:p>
    <w:p>
      <w:r>
        <w:t>Â Â Â Â Â Â Â Â  In seinem Schreiben vom 21. Januar 2007 fÃ¼hrte Dr. C.___ Ã¼berdies aus, dass die BeschwerdefÃ¼hrerin zudem zunehmend an psychischen Problemen leide. Diese seien einerseits auf den Unfall, anderseits darauf zurÃ¼ckzufÃ¼hren, dass sie sich nicht ernst genommen fÃ¼hle (Urk. 13).</w:t>
      </w:r>
    </w:p>
    <w:p>
      <w:r>
        <w:t>2.3.3Â Â  Dr. med. E.___ vom RAD hielt in seiner Stellungnahme vom 14. MÃ¤rz 2006 fest, dass die Angaben von Dr. C.___ nicht nachvollziehbar seien. Als einziges zusÃ¤tzliches Leiden werde eine BandlaxitÃ¤t genannt, welche seit Geburt bestehe. SÃ¤mtliche anderen Leiden seien bereits berÃ¼cksichtigt worden und hÃ¤tten zu keiner erheblichen BeeintrÃ¤chtigung der ArbeitsfÃ¤higkeit gefÃ¼hrt, wie die Arbeitsanamnese gezeigt habe. Aufgrund des bekannten allergischen Ekzems der HÃ¤nde sei jedoch von einer ArbeitsunfÃ¤higkeit als Coiffeuse auszugehen (Urk. 8/48).</w:t>
      </w:r>
    </w:p>
    <w:p>
      <w:r>
        <w:t>3.Â Â Â Â Â Â Â Â  Aufgrund des Berichtes von Dr. D.___ ist ersichtlich, dass die BeschwerdefÃ¼hrerin offenbar seit Februar 2005 vermehrt an RÃ¼ckenbeschwerden leidet, und es stellt sich die Frage, inwieweit sich diese auf die ArbeitsfÃ¤higkeit auswirken. WÃ¤hrend Dr. D.___ die ArbeitsunfÃ¤higkeit jeweilen mit 0 % beziffert hat, geht Dr. C.___ von einer erheblichen EinschrÃ¤nkung der LeistungsfÃ¤higkeit aus. Beide Berichte sind Ã¤usserst knapp gehalten und enthalten Ã¼ber die angegebenen Beschwerden keine Angaben, so dass nicht klar wird, wie sich die Beschwerden genau Ã¤ussern und welche TÃ¤tigkeiten der BeschwerdefÃ¼hrerin allenfalls noch zuzumuten sind. Sie genÃ¼gen demzufolge den Beweisanforderungen an einen Ã¤rztlichen Bericht nicht, weshalb nicht auf sie abgestellt werden kann.</w:t>
      </w:r>
    </w:p>
    <w:p>
      <w:r>
        <w:t>Â Â Â Â Â Â Â Â  Entgegen der Ansicht der Beschwerdegegnerin kann dies aber nicht ohne weitere AbklÃ¤rungen zur Annahme einer 100%igen ArbeitsfÃ¤higkeit fÃ¼hren. Immerhin geht Dr. C.___, welcher Ã¼ber einen anerkannten medizinischen Facharzttitel verfÃ¼gt, von einer erheblichen EinschrÃ¤nkung der ArbeitsfÃ¤higkeit aus und es ist durchaus denkbar, dass die BeschwerdefÃ¼hrerin nebst ihrer Veranlagung auch noch unter SpÃ¤tfolgen des Unfalls von 1998 leidet. Es ist zwar richtig, dass Dr. C.___ lediglich eine andere Beurteilung des gleichen medizinischen Sachverhaltes vornimmt. Daraus kann aber im vorliegenden Fall zu Lasten der BeschwerdefÃ¼hrerin nichts hergeleitet werden, da es nicht um eine Rentenrevision geht, sondern um die erstmalige Beurteilung eines Leistungsanspruches.</w:t>
      </w:r>
    </w:p>
    <w:p>
      <w:r>
        <w:t>Â Â Â Â Â Â Â Â  Zusammenfassend fÃ¼hrt dies zur RÃ¼ckweisung der Sache an die Beschwerdegegnerin zur DurchfÃ¼hrung weiterer AbklÃ¤rungen, insbesondere zur rheumatologischen Begutachtung. Ob auch in psychischer Hinsicht weiterer AbklÃ¤rungsbedarf besteht, kann aufgrund der vorliegenden medizinischen Akten nicht beurteilt werden, allenfalls ergeben sich aus der rheumatologischen AbklÃ¤rung weitere Hinweise. Schliesslich ist der Vorrang von Eingliederungsmassnahmen vor der Rentenzusprechung zu beachten.</w:t>
      </w:r>
    </w:p>
    <w:p>
      <w:r>
        <w:t>4.Â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5.Â Â Â Â Â Â Â Â  AusgangsgemÃ¤ss ist die Beschwerdegegnerin zu verpflichten, der BeschwerdefÃ¼hrerin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2'100.-- (inklusive Barauslagen und 7,6 % Mehrwertsteuer) festzusetzen ist.</w:t>
      </w:r>
    </w:p>
    <w:p>
      <w:r>
        <w:t>Â Â Â Â Â Â Â Â  Bei diesem Ausgang des Verfahrens wird das Gesuch betreffend GewÃ¤hrung der unentgeltlichen Rechtspflege gegenstandslos.</w:t>
      </w:r>
    </w:p>
    <w:p>
      <w:r>
        <w:t>Das Gericht erkennt:</w:t>
      </w:r>
    </w:p>
    <w:p>
      <w:r>
        <w:t>1.Â Â Â Â Â Â Â Â  Die Beschwerde wird in dem Sinne gutgeheissen, dass der angefochtene Einspracheentscheid vom 8. August 2006 aufgehoben und die Sache an die SVA, IV-Stelle, zurÃ¼ckgewiesen wird, damit diese, nach erfolgter AbklÃ¤rung im Sinne der ErwÃ¤gungen, Ã¼ber den Anspruch der BeschwerdefÃ¼hrerin auf Versicherungsleistungen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(inklusive Barauslagen und 7,6 % Mehrwertsteuer) zu bezahlen.</w:t>
      </w:r>
    </w:p>
    <w:p>
      <w:r>
        <w:t>4.Â Â Â Â Â Â Â Â Â Â  Zustellung gegen Empfangsschein an:</w:t>
      </w:r>
    </w:p>
    <w:p>
      <w:r>
        <w:t>- Sozialversicherungsanstalt des Kantons ZÃ¼rich, IV-Stelle</w:t>
      </w:r>
    </w:p>
    <w:p>
      <w:r>
        <w:t>- Advokat Domenico Giglio</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2.</w:t>
      </w:r>
    </w:p>
    <w:p>
      <w:r>
        <w:t>2.1Â Â Â Â  Die Beschwerdegegnerin begrÃ¼ndete den angefochtenen Einspracheentscheid damit, dass die BeschwerdefÃ¼hrerin sowohl in der TÃ¤tigkeit als VerkÃ¤uferin als auch in jeder anderen behinderungsangepassten TÃ¤tigkeit zu 100 % arbeitsfÃ¤hig sei. Weitere AbklÃ¤rungen in medizinischer Hinsicht seien nicht erforderlich, da es sich bei den sich diametral widersprechenden Beurteilungen des behandelnden Arztes sowie des RegionalÃ¤rztlichen Dienstes lediglich um eine andere Beurteilung desselben Sachverhalts handle (Urk. 2 S. 3).</w:t>
      </w:r>
    </w:p>
    <w:p>
      <w:r>
        <w:t>2.2Â Â Â Â Â Â Â Â  DemgegenÃ¼ber machte der Vertreter der BeschwerdefÃ¼hrerin im Wesentlichen geltend, dass gestÃ¼tzt auf die AusfÃ¼hrungen von Dr. C.___ von einer 75%igen ArbeitsunfÃ¤higkeit auszugehen sei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