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IV.2006.00395 vom 18. September 2007</w:t>
      </w:r>
    </w:p>
    <w:p>
      <w:r>
        <w:t>ZH Sozialversicherungsgericht, 2007-09-18, DE</w:t>
      </w:r>
    </w:p>
    <w:p>
      <w:r>
        <w:rPr>
          <w:b/>
        </w:rPr>
        <w:t xml:space="preserve">Quelle: </w:t>
      </w:r>
      <w:r>
        <w:t>https://mcp.opencaselaw.ch/entscheid/zh_sozialversicherungsgericht_IV.2006.00395</w:t>
      </w:r>
    </w:p>
    <w:p>
      <w:r>
        <w:t>FR: ZH_SOZIALVERSICHERUNGSGERICHT IV.2006.00395 du 18 septembre 2007</w:t>
      </w:r>
    </w:p>
    <w:p>
      <w:r>
        <w:t>IT: ZH_SOZIALVERSICHERUNGSGERICHT IV.2006.00395 del 18 settembre 2007</w:t>
      </w:r>
    </w:p>
    <w:p>
      <w:pPr>
        <w:pStyle w:val="Heading2"/>
      </w:pPr>
      <w:r>
        <w:t>Erwägungen</w:t>
      </w:r>
    </w:p>
    <w:p>
      <w:r>
        <w:rPr>
          <w:b/>
        </w:rPr>
        <w:t>E. 1</w:t>
      </w:r>
    </w:p>
    <w:p>
      <w:r>
        <w:t>1.1Â Â Â Â  Mit VerfÃ¼gung vom 8. November 2004 verpflichtete die Sozialversicherungsanstalt des Kantons ZÃ¼rich, IV-Stelle, G.___ zur RÃ¼ckerstattung der ihm vom 1. Juli 2000 bis 31. Oktober 2004 zu viel ausbezahlten RentenbetrÃ¤ge von insgesamt Fr. 26'641.-- (Urk. 8/5). Die dagegen mit Eingabe vom 10. November 2004 erhobene Einsprache (Urk. 8/6) wurde mit Entscheid vom 15. Dezember 2005 abgewiesen (Urk. 8/9).</w:t>
      </w:r>
    </w:p>
    <w:p>
      <w:r>
        <w:t>1.2Â Â Â Â  Mit Eingabe vom 22. Februar 2006 ersuchte der Versicherte die Sozialversicherungsanstalt des Kantons ZÃ¼rich um Erlass der ihm auferlegten RÃ¼ckerstattungsverpflichtung (Urk. 8/10). Mit VerfÃ¼gung vom 10. MÃ¤rz 2006 wurde das Gesuch abgewiesen (Urk. 8/13). Die dagegen gerichtete Einsprache vom 16. MÃ¤rz 2006 (Urk. 8/14) wies die Ausgleichskasse mit Entscheid vom 20. MÃ¤rz 2006 ab (Urk. 2 [= 8/15]).</w:t>
      </w:r>
    </w:p>
    <w:p>
      <w:r>
        <w:rPr>
          <w:b/>
        </w:rPr>
        <w:t>E. 2</w:t>
      </w:r>
    </w:p>
    <w:p>
      <w:r>
        <w:t>2.1Â Â Â Â  Sowohl nach dem seit dem 1. Januar 2003 in Kraft stehenden Art. 25 ATSG als auch nach der bis 31. Dezember 2002 geltenden Regelung (Art. 47 des Bundesgesetzes Ã¼ber die Alters- und Hinterlassenenversicherung [AHVG] in Verbindung mit Art. 49 IVG, je in der bis 31. Dezember 2002 geltenden Fassung; vgl. BGE 112 V 103) mÃ¼ssen unrechtmÃ¤ssig bezogene Leistungen, wenn sie in gutem Glauben empfangen worden sind, bei Vorliegen einer grossen HÃ¤rte nicht zurÃ¼ckerstattet werden.</w:t>
      </w:r>
    </w:p>
    <w:p>
      <w:r>
        <w:t>2.2Â Â Â Â  Im angefochtenen Einspracheentscheid wird die Erlassvoraussetzung des gutglÃ¤ubigen Leistungsbezugs verneint. Die Beschwerdegegnerin hÃ¤lt dazu fest, der BeschwerdefÃ¼hrer habe auf dem als "ErgÃ¤nzungsblatt 3" bezeichneten Fragebogen zur AbklÃ¤rung des Anspruchs auf eine HÃ¤rtefallrente am 22. Februar 2002 sowie am 18. Oktober 2004 nicht angegeben, dass er eine Rente der SUVA beziehe; da der entsprechende Bereich des Formulars sogar durchgestrichen worden sei, habe der BeschwerdefÃ¼hrer seine Meldepflicht grobfahrlÃ¤ssig, wenn nicht sogar vorsÃ¤tzlich verletzt. Da die zuviel ausbezahlten RentenbetrÃ¤ge somit nicht in gutem Glauben bezogen worden seien, sei eine der Voraussetzungen fÃ¼r den Erlass der RÃ¼ckerstattung nicht erfÃ¼llt. Ob die RÃ¼ckerstattung fÃ¼r den Pflichtigen angesichts seiner finanziellen VerhÃ¤ltnisse eine grosse HÃ¤rte bedeuten wÃ¼rde, sei in einem solchen Fall nicht relevant (Urk. 2 und 7).</w:t>
      </w:r>
    </w:p>
    <w:p>
      <w:r>
        <w:t>2.3Â Â Â Â  Der BeschwerdefÃ¼hrer macht dagegen geltend, dass die SUVA der Beschwerdegegnerin eine Kopie der rentenzusprechenden VerfÃ¼gung vom 10. Januar 2002 habe zukommen lassen; jedenfalls trage jene VerfÃ¼gung einen entsprechenden Vermerk. Er habe der Beschwerdegegnerin sodann mit Eingabe vom 10. November 2004 eine Kopie der genannten VerfÃ¼gung der SUVA zugesandt. Er habe nie etwas verschweigen wollen. Dies lasse sich auch durch den Umstand belegen, dass er gegenÃ¼ber der BehÃ¶rde, welche Zusatzleistungen zur AHV/IV ausrichte, die Rente der SUVA deklariert habe. Zudem habe er im fraglichen Zeitpunkt durch die Belastung mit einem laufenden Scheidungsverfahren den Ãberblick Ã¼ber seine finanziellen VerhÃ¤ltnisse verloren. Entsprechend habe er die ihm ausgerichteten Rentenleistungen in gutem Glauben empfangen. Da auch die weitere Voraussetzung der grossen HÃ¤rte in finanzieller Hinsicht vorliege, sei ihm die RÃ¼ckerstattung zu erlassen (Urk. 1).</w:t>
      </w:r>
    </w:p>
    <w:p>
      <w:r>
        <w:rPr>
          <w:b/>
        </w:rPr>
        <w:t>E. 3</w:t>
      </w:r>
    </w:p>
    <w:p>
      <w:r>
        <w:t>3.1Â Â Â Â  Im Rahmen der AbklÃ¤rung des Anspruchs auf eine HÃ¤rtefallrente deklarierte der BeschwerdefÃ¼hrer am 22. Februar 2002 weder die ihm von der SUVA mit Wirkung ab 1. Oktober 2001 zugesprochene Rente noch die zuvor bezogenen Unfalltaggelder (Urk. 8/1, 8/3 und 8/4). Er gab stattdessen an, keine derartigen Leistungen zu beziehen (Urk. 8/1 S. 3). Damit hat er in grobfahrlÃ¤ssiger Weise seine ihm diesbezÃ¼glich obliegende Auskunftspflicht (Art. 71 IVV in der bis 31. Dezember 2002 geltenden Fassung) verletzt. Daran Ã¤ndert nichts, dass der BeschwerdefÃ¼hrer davon ausgehen durfte, dass die Beschwerdegegnerin eine Kopie der rentenzusprechenden VerfÃ¼gung der SUVA vom 10. Januar 2002 erhalten haben wÃ¼rde (vgl. Urk. 3/5), war er doch so oder so verpflichtet, seine EinkÃ¼nfte gegenÃ¼ber der Beschwerdegegnerin lÃ¼ckenlos zu deklarieren.</w:t>
      </w:r>
    </w:p>
    <w:p>
      <w:r>
        <w:t>3.2Â Â Â Â  Der BeschwerdefÃ¼hrer machte damals sodann geltend, dass er seiner getrennt von ihm lebenden Familie jÃ¤hrlich einen Betrag von Fr. 30'000.-- zukommen lasse (Urk. 8/1 S. 1) und belegte dies auch mit Kopien von Postquittungen (Urk. 8/1 S. 7-9). Vor diesem Hintergrund erweist sich das weitere Vorbringen des BeschwerdefÃ¼hrers, die unterlassene Deklaration der SUVA-Rente sei auf den Umstand zurÃ¼ckzufÃ¼hren, dass er zufolge des damals laufenden Scheidungsverfahrens den Ãberblick Ã¼ber seine finanziellen VerhÃ¤ltnisse verloren habe, als nicht stichhaltig. Dass er bei der Geltendmachung von ErgÃ¤nzungsleistungen zur Alters-, Hinterlassenen- und Invalidenversicherung die ihm ausgerichtete SUVA-Rente deklarierte, vermag am fehlenden guten Glauben beim Bezug der HÃ¤rtefallrente ebenfalls nichts zu Ã¤ndern, handelte es sich doch um ein anderes Verfahren vor einer anderen BehÃ¶rde (vgl. Urk. 3/4).</w:t>
      </w:r>
    </w:p>
    <w:p>
      <w:r>
        <w:t>4.Â Â Â Â Â Â  Nachdem der BeschwerdefÃ¼hrer die ihm zuviel ausbezahlten Rentenleistungen nicht in gutem Glauben bezog, sind die Voraussetzungen fÃ¼r den Erlass der RÃ¼ckerstattung nicht erfÃ¼llt. Damit ist der angefochtene Einspracheentscheid nicht zu beanstanden und die Beschwerde abzuweisen.</w:t>
      </w:r>
    </w:p>
    <w:p>
      <w:r>
        <w:t>Â Â Â Â Â Â Â Â  AusgangsgemÃ¤ss ist dem BeschwerdefÃ¼hrer keine ProzessentschÃ¤digung zuzusprechen.</w:t>
      </w:r>
    </w:p>
    <w:p>
      <w:r>
        <w:t>Das Gericht erkennt:</w:t>
      </w:r>
    </w:p>
    <w:p>
      <w:r>
        <w:t>1.Â Â Â Â Â Â Â Â  Die Beschwerde wird abgewiesen.</w:t>
      </w:r>
    </w:p>
    <w:p>
      <w:r>
        <w:t>2.Â Â Â Â Â Â Â Â  Das Verfahren ist kostenlos.</w:t>
      </w:r>
    </w:p>
    <w:p>
      <w:r>
        <w:t>3.Â Â Â Â Â Â Â Â  Zustellung gegen Empfangsschein an:</w:t>
      </w:r>
    </w:p>
    <w:p>
      <w:r>
        <w:t>- TCL Treuhand Consulting Liegenschaften AG</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