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IV.2006.00270 vom 7. Mai 2007</w:t>
      </w:r>
    </w:p>
    <w:p>
      <w:r>
        <w:t>ZH Sozialversicherungsgericht, 2007-05-07, DE</w:t>
      </w:r>
    </w:p>
    <w:p>
      <w:r>
        <w:rPr>
          <w:b/>
        </w:rPr>
        <w:t xml:space="preserve">Quelle: </w:t>
      </w:r>
      <w:r>
        <w:t>https://mcp.opencaselaw.ch/entscheid/zh_sozialversicherungsgericht_IV.2006.00270</w:t>
      </w:r>
    </w:p>
    <w:p>
      <w:r>
        <w:t>FR: ZH_SOZIALVERSICHERUNGSGERICHT IV.2006.00270 du 7 mai 2007</w:t>
      </w:r>
    </w:p>
    <w:p>
      <w:r>
        <w:t>IT: ZH_SOZIALVERSICHERUNGSGERICHT IV.2006.00270 del 7 maggio 2007</w:t>
      </w:r>
    </w:p>
    <w:p>
      <w:pPr>
        <w:pStyle w:val="Heading2"/>
      </w:pPr>
      <w:r>
        <w:t>Erwägungen</w:t>
      </w:r>
    </w:p>
    <w:p>
      <w:r>
        <w:rPr>
          <w:b/>
        </w:rPr>
        <w:t>E. 3</w:t>
      </w:r>
    </w:p>
    <w:p>
      <w:r>
        <w:t>3.1Â Â Â Â  GemÃ¤ss seinen eigenen Angaben befand sich der BeschwerdefÃ¼hrer am 27. Januar 2004 auf einer an die Wand gelehnten Leiter, die Ã¼ber eine HÃ¶he von rund 4 m abrutschte, worauf er mit der rechten Schulter auf dem Boden aufschlug (Urk. 7/6/55 oben). Er zog sich dabei eine nicht-dislozierte subkapitale Humerus-Fraktur rechts mit Abriss des Tuberculum majus zu (Urk. 7/6/61 Ziff. 5).</w:t>
      </w:r>
    </w:p>
    <w:p>
      <w:r>
        <w:t>3.2Â Â Â Â  Im Anschluss an eine kreisÃ¤rztliche Untersuchung am 16. Juni 2004 (vgl. Urk. 7/6/43-45) weilte der BeschwerdefÃ¼hrer vom 4. August bis 8. September 2004 in der Rehaklinik A.___. GemÃ¤ss Austrittsbericht vom 28. September 2004 (Urk. 7/6/11-18) wurden eine Humerusfraktur und Frozen shoulder rechts, eine AnpassungsstÃ¶rung in psychosozialer Belastungssituation mit teils dysfunktionalem Umgang, eine medikamentÃ¶s behandelte arterielle Hypertonie und eine Adipositas diagnostiziert (Urk. 7/6/11 Mitte). Die Arbeit als Gipser sei dem BeschwerdefÃ¼hrer aus medizinischer Sicht auch langfristig nicht mehr zumutbar (Urk. 7/6/11 unten).</w:t>
      </w:r>
    </w:p>
    <w:p>
      <w:r>
        <w:t>3.3Â Â Â Â  in ihrem Bericht vom 18. Oktober 2004 an die Beschwerdegegnerin (Urk. 7/8) verwiesen die Ãrzte der Rehaklinik A.___ auf den Austrittsbericht vom 28. September 2004 und prÃ¤zisierten, die von ihnen diagnostizierte Humerusfraktur und Frozen shoulder rechts wirkten sich auf die ArbeitsfÃ¤higkeit aus, die Ã¼brigen Diagnosen (AnpassungsstÃ¶rung in psychosozialer Belastungssituation mit teils dysfunktionalem Umgang,Â  arterielle Hypertonie, Adipositas) hingegen nicht (Urk. 7/8/5 lit. A).</w:t>
      </w:r>
    </w:p>
    <w:p>
      <w:r>
        <w:t>3.4Â Â Â Â  Nach der Abschlussuntersuchung vom 11. Januar 2005 hielt Kreisarzt Dr. med. B.___, Facharzt fÃ¼r Chirurgie FMH, fest, die mehrfragmentÃ¤re Humerusfraktur sei richtigerweise konservativ behandelt worden. Durch stationÃ¤re und ambulante Massnahmen habe keine wesentliche Verbesserung der Beschwerdesituation und der Funktion erreicht werden kÃ¶nnen. Es bestehe eine eindeutige Symptomausweitung (Urk. 7/12 S. 3 unten).</w:t>
      </w:r>
    </w:p>
    <w:p>
      <w:r>
        <w:t>Â Â Â Â Â Â Â Â  Es bestehe heute ein praktisch funktioneller Ausschluss des rechten Armes, wobei der Gebrauch und die Beschwerde-Demonstration auseinander gingen; spontan sei der Bewegungsumfang deutlich grÃ¶sser als in der Untersuchungssituation (Urk. 7/12 S. 4 oben).</w:t>
      </w:r>
    </w:p>
    <w:p>
      <w:r>
        <w:t>Â Â Â Â Â Â Â Â  Dr. B.___ formulierte - bei einer ArbeitsunfÃ¤higkeit von 100 % in der angestammten TÃ¤tigkeit - folgendes Zumutbarkeitsprofil (Urk. 7/12 S. 4 Mitte): Vollzeitig, vollschichtig leichte TÃ¤tigkeiten, Zusatzbelastungen vom Boden bis TischhÃ¶he vereinzelt 10 kg, von der HÃ¼fte bis SchulterhÃ¶he 2-1 kg, wechselbelastend, an tischhoher OberflÃ¤che bei freier Arbeitsposition; Arbeitsrahmen 1 bis 2 m 2 mit Abspreizbewegungen 50 bis 60 cm.</w:t>
      </w:r>
    </w:p>
    <w:p>
      <w:r>
        <w:t>Â Â Â Â Â Â Â Â  Zwangshaltungen fÃ¼r die rechte Schulter, repetitive Stoss-, Zug- und Drehbewegungen fÃ¼r den rechten Arm, Bewegungen Ã¼ber SchulterhÃ¶he sowie schwere Arbeiten wie Spitzen, HÃ¤mmern, Bohren, Vibrationen seien nicht zumutbar (Urk. 7/12 S. 4 Mitte).</w:t>
      </w:r>
    </w:p>
    <w:p>
      <w:r>
        <w:t>3.5Â Â Â Â  Dr. med. C.___, FMH Allgemeinmedizin, der den BeschwerdefÃ¼hrer seit September 2003 behandelte (Urk. 7/11 lit. D.1), nannte in seinem Bericht vom 5. Januar 2005 als Diagnosen mit Auswirkungen auf die ArbeitsfÃ¤higkeit eine 2003 aufgetretene Retinablutung mit Blindheit des rechten Auges und eine am 27. Januar 2004 erlittene subkapitale Humerusfraktur rechts; als Diagnose ohne Auswirkung auf die ArbeitsfÃ¤higkeit nannte er eine Hypertonie (Urk. 7/11 lit. A).</w:t>
      </w:r>
    </w:p>
    <w:p>
      <w:r>
        <w:t>3.6Â Â Â Â  Dr. med. D.___, Augenarzt FMH, nannte in seinem Bericht vom 2. Dezember 2005 (Urk. 7/44-45 ) als Diagnose einen Status nach ischÃ¤mischer Venenastthrombose temporal unten vom 24. September 2003 (Urk. 7/44 lit. A) und hielt fest, aus opthalmologischer Sicht bestehe eine 100%ige ArbeitsfÃ¤higkeit (Urk. 7/45 Mitte Ziff. 2).</w:t>
      </w:r>
    </w:p>
    <w:p>
      <w:r>
        <w:rPr>
          <w:b/>
        </w:rPr>
        <w:t>E. 4</w:t>
      </w:r>
    </w:p>
    <w:p>
      <w:r>
        <w:t>4.1Â Â Â Â  Die medizinischen Beurteilungen stimmen dahingehend Ã¼berein, dass lediglich der Status nach Humerusfraktur und die frozen shoulder einen Einfluss auf die ArbeitsfÃ¤higkeit haben. Alle Ã¼brigen Diagnosen wurden, soweit sie Ã¼berhaupt gestellt wurden, als ohne Auswirkung auf die ArbeitsfÃ¤higkeit erachtet, so insbesondere die vom BeschwerdefÃ¼hrer zusÃ¤tzlich geltend gemachte SehschwÃ¤che auf dem rechten Auge und die Hypertonie.</w:t>
      </w:r>
    </w:p>
    <w:p>
      <w:r>
        <w:t>Â Â Â Â Â Â Â Â  Damit steht als medizinischer Sachverhalt fest, dass die ArbeitsfÃ¤higkeit des BeschwerdefÃ¼hrers ausschliesslich durch unfallbedingte BeeintrÃ¤chtigungen eingeschrÃ¤nkt ist. Mithin hat sich die Beschwerdegegnerin zu Recht an den Feststellungen der SUVA orientiert und es sollte vorliegend grundsÃ¤tzlich der gleiche InvaliditÃ¤tsgrad resultieren wie im Bereich der Unfallversicherung.</w:t>
      </w:r>
    </w:p>
    <w:p>
      <w:r>
        <w:t>4.2Â Â Â Â  Gegen das von Kreisarzt Dr. B.___ formulierte Zumutbarkeitsprofil erhob der BeschwerdefÃ¼hrer EinwÃ¤nde.</w:t>
      </w:r>
    </w:p>
    <w:p>
      <w:r>
        <w:t>Â Â Â Â Â Â Â Â  So machte er geltend, es handle sich um eine komplexe Schulterverletzung, die spezialÃ¤rztlich beurteilt werden sollte (Urk. 1 S. 4 Mitte). Nachdem Dr. B.___ die BeeintrÃ¤chtigung der Schulter dahingehend beurteilt hat, dass praktisch ein funktioneller Ausschluss des rechten Armes vorliege, ist nicht ersichtlich, inwiefern zusÃ¤tzliche AbklÃ¤rungen weitere Erkenntnisse bringen kÃ¶nnten.</w:t>
      </w:r>
    </w:p>
    <w:p>
      <w:r>
        <w:t>Â Â Â Â Â Â Â Â  Sodann verwies der BeschwerdefÃ¼hrer auf die Schwellungstendenz der rechten Hand auch ohne entsprechende Belastung (Urk. 1 S. 4 oben). Eine solche wurde bereits von den Ãrzten der Rehaklinik festgehalten, von diesen jedoch ausdrÃ¼cklich als schonungsbedingt beurteilt (Urk. 7/8/12 unten), mithin als Element der dysfunktionalen SchmerzbewÃ¤ltigung, also einer der Diagnosen ohne Auswirkung auf die ArbeitsfÃ¤higkeit.</w:t>
      </w:r>
    </w:p>
    <w:p>
      <w:r>
        <w:t>Â Â Â Â Â Â Â Â  Schliesslich machte der BeschwerdefÃ¼hrer geltend, es existierten keine Stellen, welche dem Belastungsprofil entsprÃ¤chen (Urk. 1 S. 4 Mitte). Dieser nicht weiter substantiierte Einwand ist mit dem gesetzlichen Erfordernis, von einem ausgeglichenen Arbeitsmarkt auszugehen, nicht vereinbar.</w:t>
      </w:r>
    </w:p>
    <w:p>
      <w:r>
        <w:t>Â Â Â Â Â Â Â Â  Somit ist auf das von Dr. B.___ formulierte Belastungsprofil abzustellen, fÃ¼r welches eine ArbeitsfÃ¤higkeit von 100 % besteht.</w:t>
      </w:r>
    </w:p>
    <w:p>
      <w:r>
        <w:t>4.3Â Â Â Â  Betreffend Valideneinkommen ging die Beschwerdegegnerin im Jahr 2005 von Fr. 66'228.-- aus (Urk. 7/37 S. 1 unten). Dies wurde beschwerdeweise als zutreffend erachtet (Urk. 1 S. 4 unten Ziff. 2) und ist im Lichte der vorhandenen Unterlagen (Urk. 7/5) nicht zu beanstanden.</w:t>
      </w:r>
    </w:p>
    <w:p>
      <w:r>
        <w:t>4.4Â Â Â Â  Zur Bestimmung des Invalideneinkommens ist auf das von Dr. B.___ formulierte Zumutbarkeitsprofil abzustellen, wonach leichte, wechselbelastende TÃ¤tigkeiten unter Beachtung einzelner Gewichtslimiten und der eingeschrÃ¤nkten Verwendbarkeit des rechten Arms zu 100 % zumutbar sind. Damit steht dem BeschwerdefÃ¼hrer trotz seiner Behinderung noch immer eine erhebliche Palette von TÃ¤tigkeiten offen.</w:t>
      </w:r>
    </w:p>
    <w:p>
      <w:r>
        <w:t>Â Â Â Â Â Â Â Â  Somit ist vom statistisch ermittelten Einkommen auszugehen, das gemÃ¤ss der Lohnstrukturerhebung (LSE) 2004 von MÃ¤nnern in einfachen und repetitiven TÃ¤tigkeiten im Durchschnitt aller Wirtschaftszweige erzielt wurde, mithin Fr. 4'588.-- pro Monat (LSE 2004, S. 53, Tab. TA 1, Total, Niveau 4), was pro Jahr und bei einer durchschnittlichen Wochenarbeitszeit von 41.6 Stunden (Die Volkswirtschaft 3/2007, S. 90, Tab. B 9.2) Fr. 57'258.-- entspricht (Fr. 4'588.-- x 12 : 40.0 x 41.6).</w:t>
      </w:r>
    </w:p>
    <w:p>
      <w:r>
        <w:t>Â Â Â Â Â Â Â Â  Die Beschwerdegegnerin hat das von der SUVA gestÃ¼tzt auf TÃ¤tigkeiten aus der Dokumentation Ã¼ber ArbeitsplÃ¤tze (DAP) ermittelte Invalideneinkommen von Fr. 47'100.-- Ã¼bernommen (Urk. 7/37 S. 2 oben). Geht man wie dargelegt von den Werten der LSE aus, so entspricht dies einem Abzug von rund 18 % vom Tabellenlohn (Fr. 57'258.-- x 0.8226). Damit wird den aus gesundheitlichen GrÃ¼nden bestehenden EinschrÃ¤nkungen, insbesondere was den Einsatz des rechten Arms anbelangt, angemessen Rechnung getragen (vgl. Urteile des EidgenÃ¶ssischen Versicherungsgerichts vom 30. August 2005 in Sachen S., U 122/05, 9. August 2004 in Sachen B., U 43/04, vom 20. Oktober 2003 in Sachen S., U 392/00, vom 11. September 2003 in Sachen P., U 171/01), weshalb keine Veranlassung besteht, in diesem Punkt in das von der Beschwerdegegnerin ausgeÃ¼bte Ermessen einzugreifen.</w:t>
      </w:r>
    </w:p>
    <w:p>
      <w:r>
        <w:t>4.5Â Â Â Â  Somit erweist sich der von der Beschwerdegegnerin ermittelte InvaliditÃ¤tsgrad von 29 % als zutreffend, weshalb der angefochtene Entscheid nicht zu beanstanden und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Petra Oehmke</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