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IV.2006.00092 vom 27. April 2007</w:t>
      </w:r>
    </w:p>
    <w:p>
      <w:r>
        <w:t>ZH Sozialversicherungsgericht, 2007-04-27, DE</w:t>
      </w:r>
    </w:p>
    <w:p>
      <w:r>
        <w:rPr>
          <w:b/>
        </w:rPr>
        <w:t xml:space="preserve">Quelle: </w:t>
      </w:r>
      <w:r>
        <w:t>https://mcp.opencaselaw.ch/entscheid/zh_sozialversicherungsgericht_IV.2006.00092</w:t>
      </w:r>
    </w:p>
    <w:p>
      <w:r>
        <w:t>FR: ZH_SOZIALVERSICHERUNGSGERICHT IV.2006.00092 du 27 avril 2007</w:t>
      </w:r>
    </w:p>
    <w:p>
      <w:r>
        <w:t>IT: ZH_SOZIALVERSICHERUNGSGERICHT IV.2006.00092 del 27 aprile 2007</w:t>
      </w:r>
    </w:p>
    <w:p>
      <w:pPr>
        <w:pStyle w:val="Heading2"/>
      </w:pPr>
      <w:r>
        <w:t>Erwägungen</w:t>
      </w:r>
    </w:p>
    <w:p>
      <w:r>
        <w:rPr>
          <w:b/>
        </w:rPr>
        <w:t>E. 2</w:t>
      </w:r>
    </w:p>
    <w:p>
      <w:r>
        <w:t>2.1Â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sowohl von Verfahrensvorschriften als auch von materiellrechtlichen Vorschriften gefÃ¼hrt. Nach der Rechtsprechung sind neue Verfahrensvorschriften vorbehÃ¤ltlich anders lautender Ãbergangsbestimmungen in der Regel mit dem Tag des Inkrafttretens sofort und in vollem Umfang anwendbar. Dieser intertemporalrechtliche Grundsatz gilt dort nicht, wo hinsichtlich des verfahrensrechtlichen Systems zwischen altem und neuem Recht keine KontinuitÃ¤t besteht und mit dem neuen Recht eine grundlegend andere Verfahrensordnung geschaffen worden ist (BGE 132 V 96 Erw. 2.2, 130 V 4 Erw. 3.2, 220 Erw. 3.2, 129 V 115 Erw. 2.2 mit Hinweisen). Bei einer Revision von materiellrechtlichen Vorschriften hingegen sind in zeitlicher Hinsicht grundsÃ¤tzlich diejenigen RechtssÃ¤tze massgebend, die bei der ErfÃ¼llung des zu Rechtsfolgen fÃ¼hrenden Tatbestandes Geltung haben (BGE 130 V 447 Erw. 1.2.1, 127 V 467 Erw. 1).</w:t>
      </w:r>
    </w:p>
    <w:p>
      <w:r>
        <w:rPr>
          <w:b/>
        </w:rPr>
        <w:t>E. 2.2</w:t>
      </w:r>
    </w:p>
    <w:p>
      <w:r>
        <w:t>Vorliegend geht es zunÃ¤chst um die ModalitÃ¤ten der ErÃ¶ffnung der VerfÃ¼gungen vom 13. Juni 2003, was als verfahrensrechtliche Frage nach den ab 1. Januar 2003 geltenden Vorschriften des ATSG zu beurteilen ist.</w:t>
      </w:r>
    </w:p>
    <w:p>
      <w:r>
        <w:t>Â Â Â Â Â Â Â Â  Die zweite sich in diesem Fall stellende Problematik betrifft die VerjÃ¤hrung oder Verwirkung des Anspruchs auf eine hÃ¶here oder zusÃ¤tzliche Renten fÃ¼r die Zeit vor dem 1. November 1999, somit eine materiellrechtliche Frage (BGE 125 V 399). Da sich der hier zu beurteilende Sachverhalt - die Entstehung des Rentenanspruchs in den Monaten MÃ¤rz bis Oktober 1999 - vor dem 1. Januar 2003 verwirklicht hat, gelangen die materiellen Vorschriften des ATSG und der ATSV sowie die gestÃ¼tzt darauf erlassenen Gesetzes- und Verordnungsrevisionen im vorliegenden Fall noch nicht zur Anwendung.</w:t>
      </w:r>
    </w:p>
    <w:p>
      <w:r>
        <w:rPr>
          <w:b/>
        </w:rPr>
        <w:t>E. 3</w:t>
      </w:r>
    </w:p>
    <w:p>
      <w:r>
        <w:t>Zustellung gegen Empfangsschein an:</w:t>
      </w:r>
    </w:p>
    <w:p>
      <w:r>
        <w:t>- Georg Biedermann</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3.2</w:t>
      </w:r>
    </w:p>
    <w:p>
      <w:r>
        <w:t>Vorliegend ist unbestritten, dass die VerfÃ¼gungen vom 13. Juni 2003 mangelhaft erÃ¶ffnet wurden (Urk. 1 S. 2 und Urk. 2 S. 3), denn sie wurden - wie erwÃ¤hnt - der BeschwerdefÃ¼hrerin selbst, nicht aber ihrem Vertreter zugestellt. Auf die von lic. iur. Georg Biedermann mit Schreiben vom 24. November 2004 (Urk. 8/1) erhobenen Einwendungen ging die Ausgleichskasse denn auch ein: Sie erhÃ¶hte mit den VerfÃ¼gungen vom 24. MÃ¤rz 2005 die bereits zugesprochenen Renten unter BerÃ¼cksichtigung der zusÃ¤tzlichen Beitragsjahren und sprach eine (befristete) Kinderrente zu (Urk. 8/3), weshalb der BeschwerdefÃ¼hrerin der Rechtsweg nicht abgeschnitten wurde.</w:t>
      </w:r>
    </w:p>
    <w:p>
      <w:r>
        <w:t>4.Â Â Â Â Â Â  Zu prÃ¼fen ist nun, ob die Verwaltung die mit den VerfÃ¼gungen vom 24. MÃ¤rz 2005 vorgenommenen Ãnderungen der Rentenleistungen zu Recht nur bis zum 1. November 1999 zurÃ¼ckwirken liess.</w:t>
      </w:r>
    </w:p>
    <w:p>
      <w:r>
        <w:t>4.1Â Â Â Â  Wer eine ihm zustehende Rente nicht bezogen oder eine niedrigere Rente erhalten hat, als er zu beziehen berechtigt war, kann den ihm zustehenden Betrag von der Ausgleichskasse nachfordern (Art. 77 Satz 1 der Verordnung Ã¼ber die Alters- und Hinterlassenenversicherung [AHVV]). Diese Bestimmung ist laut Art. 85 Abs. 1 der Verordnung Ã¼ber die Invalidenversicherung (IVV) in der bis 28. Februar 2004 gÃ¼ltig gewesenen Fassung fÃ¼r die Nachzahlung von Taggeldern, von Renten und von HilflosenentschÃ¤digungen sinngemÃ¤ss anwendbar. Die VerjÃ¤hrung und Verwirkung des Nachzahlungsanspruches gemÃ¤ss Art. 48 Abs. 1 des Bundesgesetzes Ã¼ber die Invalidenversicherung (IVG) bleibt vorbehalten. GemÃ¤ss Art. 48 Abs. 1 IVG in der bis 31. Dezember 2002 gÃ¼ltig gewesenen Fassung erlischt der Anspruch auf Nachzahlung mit dem Ablauf von fÃ¼nf Jahren seit Ende des Monats, fÃ¼r welchen die Leistung geschuldet war.</w:t>
      </w:r>
    </w:p>
    <w:p>
      <w:r>
        <w:t>Â Â Â Â Â Â Â Â  Nach der Rechtsprechung unterliegt die Nachzahlung von Leistungen, auch wenn die Verwaltung fehlerhaft einem bereits frÃ¼her hinreichend substantiierten Leistungsbegehren nicht entsprochen hat, einer absoluten Verwirkungsfrist von fÃ¼nf Jahren, welche rÃ¼ckwÃ¤rts ab dem Zeitpunkt der Neuanmeldung berechnet wird (BGE 121 V 202).</w:t>
      </w:r>
    </w:p>
    <w:p>
      <w:r>
        <w:t>4.2Â Â Â Â  In Anwendung obengenannter Bestimmungen und der strengen Rechtsprechung des EVG behandelte die Verwaltung das Schreiben von lic. iur. Georg Biedermann vom 24. November 2004 (Urk. 8/8) als eine Neuanmeldung hinsichtlich der untergegangenen Kinderrente und der nicht berÃ¼cksichtigten Beitragsjahre und passte die Renten fÃ¼r die letzten fÃ¼nf Jahren vor diesem Schreiben an.</w:t>
      </w:r>
    </w:p>
    <w:p>
      <w:r>
        <w:t>Â Â Â Â Â Â Â Â  Die BeschwerdefÃ¼hrerin stellt sich hingegen auf den Standpunkt, dass sich die SVA nicht auf die fÃ¼nfjÃ¤hrige Verwirkungsfrist berufen kÃ¶nne, denn sie sei ihrer Sorgfaltspflicht bei ErÃ¶ffnung der VerfÃ¼gungen vom 13. Juni 2003 nicht nachgekommen und habe dadurch die spÃ¤te Intervention von lic. iur. Georg Biedermann vom November 2004 verursacht. Bei der fÃ¼nfjÃ¤hrigen Frist handle es sich um eine Schutzbestimmung zu Gunsten der Invalidenversicherung, weshalb sich die SVA in sinngemÃ¤sser Anwendung der Rechtsprechung im Urteil des EVG vom 6. Dezember 2005 (I 129/05) mit Verweis auf das Urteil vom 6. August 2002 (I 598/01) nur dann darauf berufen kÃ¶nne, wenn sie selber keine Sorgfaltspflichtverletzung begangen habe. Es wÃ¼rde nÃ¤mlich dem Grundsatz von Treu und Glauben widersprechen, wenn die SVA aus eigenem Fehlverhalten Nutzen ziehen kÃ¶nnte (Urk. 1 S. 3 f.). verpflichtet</w:t>
      </w:r>
    </w:p>
    <w:p>
      <w:r>
        <w:t>Â Â Â Â Â Â Â Â  In ihrer Argumentation verkennt die BeschwerdefÃ¼hrerin, dass sie nach der Rechtsprechung des EVG auf Grund der sie treffenden Sorgfaltspflicht gehalten</w:t>
      </w:r>
    </w:p>
    <w:p>
      <w:r>
        <w:t>war, sich spÃ¤testens am dreissigsten Tag ab erfolgter Zustellung bei ihrem Rechtsvertreter zu erkundigen, ob die VerfÃ¼gungen vom 13. Juni 2003 auch ihm (oder nur ihr persÃ¶nlich) zugestellt worden waren (Urteil des EVG in Sachen B. vom 6. August 2002, I 598/01, Erw. 2.2). Die Tatsache, dass die fehlerhafte ErÃ¶ffnung der VerfÃ¼gungen vom 13. Juni 2003 von der SVA verschuldet war, befreite die BeschwerdefÃ¼hrerin von der ihr obliegenden Sorgfaltspflicht nicht. Mit einer einfachen Anfrage hÃ¤tte sie ihren Rechtsvertreter rechtzeitig Ã¼ber den VerfÃ¼gungserlass orientiert und dieser hÃ¤tte die berechtigte rÃ¼ckwirkende Korrektur der Renten noch ohne Einbusse in der Nachzahlung veranlassen kÃ¶nnen.</w:t>
      </w:r>
    </w:p>
    <w:p>
      <w:r>
        <w:t>Â Â Â Â Â Â Â Â  Die Befristung der Nachzahlung der korrigierten Renten auf die letzten fÃ¼nf Jahren vor dem als Neuanmeldung behandelten Schreiben vom 24. November 2004 erfolgte somit zu Recht, weshalb die VerfÃ¼gungen vom 24. MÃ¤rz 2005 nicht zu beanstanden sind.</w:t>
      </w:r>
    </w:p>
    <w:p>
      <w:r>
        <w:t>Der Einzelrichter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