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IV.2005.01368 vom 24. Mai 2006</w:t>
      </w:r>
    </w:p>
    <w:p>
      <w:r>
        <w:t>ZH Sozialversicherungsgericht, 2006-05-24, DE</w:t>
      </w:r>
    </w:p>
    <w:p>
      <w:r>
        <w:rPr>
          <w:b/>
        </w:rPr>
        <w:t xml:space="preserve">Quelle: </w:t>
      </w:r>
      <w:r>
        <w:t>https://mcp.opencaselaw.ch/entscheid/zh_sozialversicherungsgericht_IV.2005.01368</w:t>
      </w:r>
    </w:p>
    <w:p>
      <w:r>
        <w:t>FR: ZH_SOZIALVERSICHERUNGSGERICHT IV.2005.01368 du 24 mai 2006</w:t>
      </w:r>
    </w:p>
    <w:p>
      <w:r>
        <w:t>IT: ZH_SOZIALVERSICHERUNGSGERICHT IV.2005.01368 del 24 maggio 2006</w:t>
      </w:r>
    </w:p>
    <w:p>
      <w:pPr>
        <w:pStyle w:val="Heading2"/>
      </w:pPr>
      <w:r>
        <w:t>Erwägungen</w:t>
      </w:r>
    </w:p>
    <w:p>
      <w:r>
        <w:rPr>
          <w:b/>
        </w:rPr>
        <w:t>E. 1.1</w:t>
      </w:r>
    </w:p>
    <w:p>
      <w:r>
        <w:t>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w:t>
      </w:r>
    </w:p>
    <w:p>
      <w:r>
        <w:rPr>
          <w:b/>
        </w:rPr>
        <w:t>E. 1.2</w:t>
      </w:r>
    </w:p>
    <w:p>
      <w:r>
        <w:t>Die versicherte Person hat Anspruch auf VergÃ¼tung der Behandlungskosten, wenn sie im Verlauf von Eingliederungsmassnahmen krank wird oder einen Unfall erleidet (Art. 11 des Bundesgesetzes Ã¼ber die Invalidenversicherung, IVG). Sie hat Anspruch auf Ersatz der Heilungskosten fÃ¼r Krankheiten und UnfÃ¤lle, die durch AbklÃ¤rungs- und oder Eingliederungsmassnahmen verursacht wurden, sofern diese von der IV-Stelle angeordnet oder aus wichtigen GrÃ¼nden vor der Beschlussfassung durchgefÃ¼hrt wurden (Art. 23 Abs. 1 der Verordnung Ã¼ber die Invalidenversicherung, IVV). Die erforderlichen AbklÃ¤rungen sind von Amtes wegen vorzunehmen (Art. 43 Abs. 1 ATSG); die Beweislast fÃ¼r das Bestehen der geltend gemachten Haftungsgrundlagen liegt jedoch grundsÃ¤tzlich bei der geschÃ¤digten Person (Kieser, ATSG-Kommentar, Art. 78 Rz 40).</w:t>
      </w:r>
    </w:p>
    <w:p>
      <w:r>
        <w:rPr>
          <w:b/>
        </w:rPr>
        <w:t>E. 1.3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2.1</w:t>
      </w:r>
    </w:p>
    <w:p>
      <w:r>
        <w:t>Die Beschwerdegegnerin machte geltend, dass der Anspruch auf KostenÃ¼bernahme fÃ¼r die medizinische Behandlung eines Geburtsgebrechens mit der Vollendung des 20. Lebensjahres ende. Eine Haftung fÃ¼r Krankheiten und UnfÃ¤lle, die durch AbklÃ¤rungs- oder Eingliederungsmassnahmen verursacht wÃ¼rden, komme nur bei adÃ¤quater KausalitÃ¤t in Betracht. Aus den Ã¤rztlichen Angaben sei jedoch nicht ersichtlich, dass der heutige Zustand der BeschwerdefÃ¼hrerin auf eine frÃ¼here Fehlbehandlung zurÃ¼ckzufÃ¼hren sei (Urk. 2 S. 2 f.). Es stelle sich die Frage, ob die jetzt notwendigen medizinischen Massnahmen der Behandlung des Geburtsgebrechens dienten oder ob sie Folgen einer unvollstÃ¤ndigen oder fehlerhaften Behandlung des Geburtsgebrechens seien, fÃ¼r die die Invalidenversicherung einzustehen hÃ¤tte. Zur Beurteilung dieser Frage seien jedoch weitere AbklÃ¤rungen notwendig, da die vorhandenen medizinischen Berichte nicht ausreichten. Entsprechend sei die Sache zurÃ¼ckzuweisen (Urk. 9 S. 2).</w:t>
      </w:r>
    </w:p>
    <w:p>
      <w:r>
        <w:rPr>
          <w:b/>
        </w:rPr>
        <w:t>E. 2.2</w:t>
      </w:r>
    </w:p>
    <w:p>
      <w:r>
        <w:t>Dem hielt die BeschwerdefÃ¼hrerin 1 entgegen, es fielen ihr seit gut zwei Jahren immer wieder StÃ¼ckchen ihrer ZÃ¤hne ab, zudem reagiere sie stark auf heiss und kalt. Sie habe deswegen im Sommer 2005 notfallmÃ¤ssig den Zahnarzt aufsuchen mÃ¼ssen. Dieser habe ihr unter anderem eine nur zu 50 % gelungene Kieferoperation attestiert. Ihr heutiger Zustand sei auf die damals von der Beschwerdegegnerin Ã¼bernommene Behandlung zurÃ¼ckzufÃ¼hren, die nicht nach allen schon damals mÃ¶glichen diagnostischen Kriterien geplant und ausgefÃ¼hrt worden sei. Der heutige Handlungsbedarf stehe in kausalem Zusammenhang mit der damaligen Behandlung (Urk. 1 S. 1 f.).</w:t>
      </w:r>
    </w:p>
    <w:p>
      <w:r>
        <w:rPr>
          <w:b/>
        </w:rPr>
        <w:t>E. 2.3</w:t>
      </w:r>
    </w:p>
    <w:p>
      <w:r>
        <w:t>Die BeschwerdefÃ¼hrerin 2 fÃ¼hrte aus, die abschliessende Beurteilung eines mÃ¶glichen Kausalzusammenhangs kÃ¶nne nicht aufgrund eines aktuellen Arztberichts erfolgen, da dieser lediglich SchlÃ¼sse Ã¼ber die momentane Gesundheitssituation zulasse. Ob die darin ausgewiesenen Beschwerden im Zusammenhang mit der Operation stÃ¼nden, liesse sich erst beurteilen, wenn sÃ¤mtliche ergangenen Berichte einbezogen wÃ¼rden, was bislang nicht geschehen sei (Urk. 11/1 S. 4).</w:t>
      </w:r>
    </w:p>
    <w:p>
      <w:r>
        <w:t>3.Â Â Â Â Â Â</w:t>
      </w:r>
    </w:p>
    <w:p>
      <w:r>
        <w:t>3.1 A.___, Zahnarzt, fÃ¼hrte mit Schreiben vom 12. Juli 2005 (Urk. 10/15) aus, es sei zur Zeit trotz vielfÃ¤ltiger therapeutischer BemÃ¼hungen lediglich ein Zwischenergebnis zu konstatieren, welches in verschiedenen Aspekten pathologische und in Bezug auf normale Kieferfunktionen pathogene Werte und Fehlfunktionen aufweise. Es sollte damit gerechnet werden, dass es unter Einbezug mehrerer Spezialgebiete der Zahnmedizin wie KieferorthopÃ¤die, Implantologie, eventuell Chirurgie und restaurative Zahnheilkunde, mÃ¶glich sei, das Problem mit gutem, prognostizierbarem und dauerhaft stabilem Endergebnis zu lÃ¶sen (Urk. 10/15 S. 2).</w:t>
      </w:r>
    </w:p>
    <w:p>
      <w:r>
        <w:t>3.2 Mit einem weiteren, undatierten Schreiben (Urk. 10/14) bescheinigte Zahnarzt A.___ die medizinische Notwendigkeit der durchgefÃ¼hrten Behandlungsmassnahmen. Diese seien fÃ¼r eine dauerhafte und den wissenschaftlichen Kriterien einer modernen Zahnheilkunde genÃ¼gende Versorgung der BeschwerdefÃ¼hrerin 1 dringend notwendig gewesen (Urk. 10/14).</w:t>
      </w:r>
    </w:p>
    <w:p>
      <w:r>
        <w:rPr>
          <w:b/>
        </w:rPr>
        <w:t>E. 4.1</w:t>
      </w:r>
    </w:p>
    <w:p>
      <w:r>
        <w:t>Den Berichten von Zahnarzt A.___ lÃ¤sst sich nicht schlÃ¼ssig entnehmen, ob der aktuelle Zustand der BeschwerdefÃ¼hrerin 1 auf eine eventuelle Fehlbehandlung zurÃ¼ckzufÃ¼hren ist und wer diese verursacht hat: Darin wurde lediglich festgehalten, dass ein Zwischenergebnis mit ungenÃ¼gendem Resultat erreicht worden sei. Aus diesen Angaben kann noch nicht auf eine Haftung der Beschwerdegegnerin geschlossen werden. FÃ¼r die hier streitigen Belange sind die genannten Schreiben somit nicht genÃ¼gend aussagekrÃ¤ftig und vermÃ¶gen den praxisgemÃ¤ssen Anforderungen an einen Arztbericht nicht zu genÃ¼gen (vgl. vorstehend Erw. 1.3). Ob ein widerrechtlich zugefÃ¼gter Schaden (vgl. Art. 78 Abs. 1 ATSG) vorliegt und die BeschwerdefÃ¼hrerin dafÃ¼r zu haften hat, lÃ¤sst sich aufgrund der vorhandenen Akten nicht beurteilen. Somit fehlt es an der Grundlage fÃ¼r einen Entscheid.</w:t>
      </w:r>
    </w:p>
    <w:p>
      <w:r>
        <w:rPr>
          <w:b/>
        </w:rPr>
        <w:t>E. 4.2</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4.3</w:t>
      </w:r>
    </w:p>
    <w:p>
      <w:r>
        <w:t>Es ist angezeigt, die Sache an die Beschwerdegegnerin zurÃ¼ckzuweisen, damit sie im Sinne der ErwÃ¤gungen einen aussagekrÃ¤ftigen Bericht einholt. Dieser wird sich darÃ¼ber zu Ã¤ussern haben, ob ein im Zusammenhang mit der gewÃ¤hrten Eingliederungsmassnahme (Urk. 10/13) widerrechtlich zugefÃ¼gter Schaden vorliegt oder ob die jetzige Behandlung lediglich eine Fortsetzung der Behandlung des Geburtsgebrechens Ã¼ber das 20. Altersjahr hinaus darstellt, fÃ¼r die die Beschwerdegegnerin nicht mehr einzustehen hÃ¤tte (Art. 13 Abs. 1 IVG). Dabei ist die Beweislastverteilung zu berÃ¼cksichtigen (vgl. vorstehend Erw. 1.2). Hernach ist der Sachverhalt neu zu beurteilen und Ã¼ber den Anspruch der BeschwerdefÃ¼hrerin 1 neu zu verfÃ¼gen.</w:t>
      </w:r>
    </w:p>
    <w:p>
      <w:r>
        <w:t>Das Gericht erkennt:</w:t>
      </w:r>
    </w:p>
    <w:p>
      <w:r>
        <w:t>1.Â Â Â Â Â Â Â Â  Die Beschwerde wird in dem Sinne gutgeheissen, das der angefochtene Einspracheentscheid vom 28. November 2005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Zustellung gegen Empfangsschein an:</w:t>
      </w:r>
    </w:p>
    <w:p>
      <w:r>
        <w:t>- U.___</w:t>
      </w:r>
    </w:p>
    <w:p>
      <w:r>
        <w:t>- ProgrÃ¨s Versicherungen AG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