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IV.2005.01332 vom 28. April 2006</w:t>
      </w:r>
    </w:p>
    <w:p>
      <w:r>
        <w:t>ZH Sozialversicherungsgericht, 2006-04-28, DE</w:t>
      </w:r>
    </w:p>
    <w:p>
      <w:r>
        <w:rPr>
          <w:b/>
        </w:rPr>
        <w:t xml:space="preserve">Quelle: </w:t>
      </w:r>
      <w:r>
        <w:t>https://mcp.opencaselaw.ch/entscheid/zh_sozialversicherungsgericht_IV.2005.01332</w:t>
      </w:r>
    </w:p>
    <w:p>
      <w:r>
        <w:t>FR: ZH_SOZIALVERSICHERUNGSGERICHT IV.2005.01332 du 28 avril 2006</w:t>
      </w:r>
    </w:p>
    <w:p>
      <w:r>
        <w:t>IT: ZH_SOZIALVERSICHERUNGSGERICHT IV.2005.01332 del 28 aprile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Â Â Â Â Â  Bei diesem Ausgang des Verfahrens erÃ¼brigt es sich, auf den formellen Einwand, ob die gesetzlichen Verfahrensanforderungen an das zweistufige verwaltungsinterne Verwaltungsverfahren erfÃ¼llt sind, wenn sowohl die VerfÃ¼gung als auch der sie bestÃ¤tigende Einspracheentscheid von derselben Person unterzeichnet wurden (Urk. 1), nÃ¤her einzugehen, da die RÃ¼ckweisung der Sache aus diesem Grund einen formalistischen Leerlauf bedeuten wÃ¼rde.</w:t>
      </w:r>
    </w:p>
    <w:p>
      <w:r>
        <w:t>Das Gericht erkennt:</w:t>
      </w:r>
    </w:p>
    <w:p>
      <w:r>
        <w:t>1.Â Â Â Â Â Â Â Â  In Gutheissung der Beschwerde wird der angefochtene Einspracheentscheid vom 11. November 2005 aufgehoben, und es wird die Sache mit der Feststellung, dass der Versicherte Anspruch auf Ãbernahme der Kosten fÃ¼r die Ergotherapie hat, an die Sozialversicherungsanstalt des Kantons ZÃ¼rich, IV-Stelle, zurÃ¼ckgewiesen, damit sie im Sinne von Erw. 4.2 vorgehe.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SWICA Krankenversicherung AG, unter Beilage einer Kopie von Urk. 6/1</w:t>
      </w:r>
    </w:p>
    <w:p>
      <w:r>
        <w:t>- Sozialversicherungsanstalt des Kantons ZÃ¼rich, IV-Stelle</w:t>
      </w:r>
    </w:p>
    <w:p>
      <w:r>
        <w:t>- die Mutter von R.___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