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IV.2005.01206 vom 28. Dezember 2005</w:t>
      </w:r>
    </w:p>
    <w:p>
      <w:r>
        <w:t>ZH Sozialversicherungsgericht, 2005-12-28, DE</w:t>
      </w:r>
    </w:p>
    <w:p>
      <w:r>
        <w:rPr>
          <w:b/>
        </w:rPr>
        <w:t xml:space="preserve">Quelle: </w:t>
      </w:r>
      <w:r>
        <w:t>https://mcp.opencaselaw.ch/entscheid/zh_sozialversicherungsgericht_IV.2005.01206</w:t>
      </w:r>
    </w:p>
    <w:p>
      <w:r>
        <w:t>FR: ZH_SOZIALVERSICHERUNGSGERICHT IV.2005.01206 du 28 décembre 2005</w:t>
      </w:r>
    </w:p>
    <w:p>
      <w:r>
        <w:t>IT: ZH_SOZIALVERSICHERUNGSGERICHT IV.2005.01206 del 28 dicembre 2005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Zustellung gegen Empfangsschein an:</w:t>
      </w:r>
    </w:p>
    <w:p>
      <w:r>
        <w:t>- Wonneberg-Management ZÃ¼rich, unter Beilage einer Kopie von Urk. 7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