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IV.2005.00928 vom 30. Mai 2006</w:t>
      </w:r>
    </w:p>
    <w:p>
      <w:r>
        <w:t>ZH Sozialversicherungsgericht, 2006-05-30, DE</w:t>
      </w:r>
    </w:p>
    <w:p>
      <w:r>
        <w:rPr>
          <w:b/>
        </w:rPr>
        <w:t xml:space="preserve">Quelle: </w:t>
      </w:r>
      <w:r>
        <w:t>https://mcp.opencaselaw.ch/entscheid/zh_sozialversicherungsgericht_IV.2005.00928</w:t>
      </w:r>
    </w:p>
    <w:p>
      <w:r>
        <w:t>FR: ZH_SOZIALVERSICHERUNGSGERICHT IV.2005.00928 du 30 mai 2006</w:t>
      </w:r>
    </w:p>
    <w:p>
      <w:r>
        <w:t>IT: ZH_SOZIALVERSICHERUNGSGERICHT IV.2005.00928 del 30 maggio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Zur AbklÃ¤rung des medizinischen Sachverhalts hatte die Beschwerdegegnerin bei Dr. A.___ sowie bei Dr. B.___ Ã¤rztliche Berichte Ã¼ber den Gesundheitszustand und die ArbeitsfÃ¤higkeit des Versicherten eingeholt.</w:t>
      </w:r>
    </w:p>
    <w:p>
      <w:r>
        <w:t>3.2Â Â Â Â  In seinem Bericht vom 26. Februar 2005 hatte Dr. A.___ als Diagnosen mit Auswirkung auf die ArbeitsfÃ¤higkeit ein exogen allergisches Asthma bronchiale mit/bei Sensibilisierung gegen saisonale und pereniale Allergene und fixierte Bronchialobstruktion gestellt, ebenso eine arterielle Hypertension. Diagnosen ohne Auswirkungen auf die ArbeitsfÃ¤higkeit stellte er keine.</w:t>
      </w:r>
    </w:p>
    <w:p>
      <w:r>
        <w:t>Â Â Â Â Â Â Â Â  Dr. A.___ fÃ¼hrte im Wesentlichen aus, beim Patienten bestehe ein langjÃ¤hriges Asthma bronchiale; die Bronchialobstruktion erscheine chronisch fixiert, wobei keine Hinweise auf ein Lungenemphysem vorlÃ¤gen. ZusÃ¤tzlich bestehe eine erhebliche Hypertonie (unter Belastung). Die Atemreserven seien um 49 % eingeschrÃ¤nkt. Dr. A.___ fÃ¼hrte aus, medizinisch-theoretisch bestehe zusammen mit der EinschrÃ¤nkung unter Belastung respektive der Hypertonie eine "InvaliditÃ¤t von 50 %". Im Fragebogen zur medizinischen Belastbarkeit bezeichnete er den BeschwerdefÃ¼hrer als in leidensangepasster TÃ¤tigkeit halbtags arbeitsfÃ¤hig (Urk. 8/11).</w:t>
      </w:r>
    </w:p>
    <w:p>
      <w:r>
        <w:t>3.3Â Â Â Â  Dr. B.___ diagnostizierte in seinem Bericht vom 3. MÃ¤rz 2005 mit Auswirkung auf die ArbeitsfÃ¤higkeit eine chronisch fixierte Bronchialobstruktion sowie eine essentielle Hypertonie; als ohne Auswirkung auf die ArbeitsfÃ¤higkeit bezeichnete er eine gastroÃ¶sophagale Refluxkrankheit bei EndobrachyÃ¶sophagus und axialer Hiatushernie sowie einen Status nach Fundophrenico- und Gastrocorporopexie wegen upside down stomach sowie eine Inguinalhernie rechts.</w:t>
      </w:r>
    </w:p>
    <w:p>
      <w:r>
        <w:t>Â Â Â Â Â Â Â Â  Dr. B.___ wies im Wesentlichen darauf hin, dass der BeschwerdefÃ¼hrer schon seit Jahren MÃ¼he habe mit der Atmung und die entsprechenden Sprays wie Foradil und Ventolin in Reserve beziehe. Es sei eine fachÃ¤rztliche Beurteilung bei schlechter Lungenfunktion vorgenommen worden. Dr. B.___ bezeichnete den BeschwerdefÃ¼hrer in seiner ursprÃ¼nglichen TÃ¤tigkeit als Maler als seit lÃ¤ngerer Zeit zu 50 % arbeitsunfÃ¤hig und verwies bezÃ¼glich der verbleibenden ArbeitsfÃ¤higkeit auf die beigelegten Berichtskopien von Dr. A.___, gemÃ¤ss dessen EinschÃ¤tzung eine IV-Rente von 33 % bis 50 % angezeigt sei (Urk. 8/12).</w:t>
      </w:r>
    </w:p>
    <w:p>
      <w:r>
        <w:rPr>
          <w:b/>
        </w:rPr>
        <w:t>E. 3.4</w:t>
      </w:r>
    </w:p>
    <w:p>
      <w:r>
        <w:t>Â Â Â  Dr. med. C.___ vom RAD (gemÃ¤ss FMH-Index Facharzt fÃ¼r Psychiatrie und Psychotherapie) fÃ¼hrte in seiner internen Stellungnahme aus, die fachÃ¤rztlichen Lungenbefunde dokumentierten, dass kein signifikantes Emphysem vorliege und die kÃ¶rperliche LeistungsfÃ¤higkeit nur mÃ¤ssig eingeschrÃ¤nkt sei. Der erwÃ¤hnte arterielle Hypertonus lasse sich medizinisch gut behandeln; dieser sei somit aus versicherungsmedizinischer Sicht nicht IV-relevant. Es gebe daher keinen Grund, warum der Versicherte zumindest in einer adaptierten TÃ¤tigkeit (kÃ¶rperlich leichtere Arbeiten) nicht voll arbeitsfÃ¤hig sein sollte (Urk. 8/9).</w:t>
      </w:r>
    </w:p>
    <w:p>
      <w:r>
        <w:rPr>
          <w:b/>
        </w:rPr>
        <w:t>E. 4</w:t>
      </w:r>
    </w:p>
    <w:p>
      <w:r>
        <w:t>4.1Â Â Â Â  Aufgrund der Ã¼bereinstimmend gestellten Diagnosen kann zwar als erstellt gelten, dass der BeschwerdefÃ¼hrer an einem allergischen Asthma bronchiale mit/bei Sensibilisierung gegen saisonale und pereniale Allergene und einer fixierten Bronchialobstruktion sowie einer arteriellen Hypertonie leidet, und dass sich diese GesundheitsschÃ¤den auf seine ArbeitsfÃ¤higkeit auswirken. Kein klares Bild ergibt sich jedoch hinsichtlich der ArbeitsfÃ¤higkeit: Einerseits weichen die Ã¤rztlichen Beurteilungen diesbezÃ¼glich erheblich voneinander ab und andererseits erweist sich keiner der vorliegenden Berichte im Sinne der Rechtsprechung (vgl. Erw. 1.3 hievor) hinreichend beweiskrÃ¤ftig, als dass darauf abgestellt werden kÃ¶nnte.</w:t>
      </w:r>
    </w:p>
    <w:p>
      <w:r>
        <w:t>4.2Â Â Â Â  Zum Bericht von Dr. B.___ (vom 3. MÃ¤rz 2005) ist zu bemerken, dass er sich lediglich zur ArbeitsfÃ¤higkeit des BeschwerdefÃ¼hrers als Maler Ã¤ussert, er hinsichtlich der Frage, welche TÃ¤tigkeiten ihm mit Blick auf die erhobenen Diagnosen noch zumutbar sind, keine (eigenen) Angaben macht (Urk. 8/12). Wie im Einspracheentscheid zu Recht bemerkt (vgl. Urk. 2 S. 2), kann mangels SchlÃ¼ssigkeit auch auf die AusfÃ¼hrungen von Dr. A.___ nicht abgestellt werden. Denn wenn dieser Arzt aufgrund der durchgefÃ¼hrten Ergospirometrie vom 14. Dezember 2004 ausfÃ¼hrt, die kÃ¶rperliche LeistungsfÃ¤higkeit des BeschwerdefÃ¼hrers sei trotz der erheblichen Obstruktion nur leicht beziehungsweise mÃ¤ssig eingeschrÃ¤nkt (vgl. etwa Schreiben vom 18. Dezember 2004 an Dr. B.___; Urk. 8/12), kann die Angabe einer lediglich 50%igen ArbeitsfÃ¤higkeit selbst in leidensangepasster TÃ¤tigkeit mangels nÃ¤herer BegrÃ¼ndung dieser Schlussfolgerung in der Tat nicht nachvollzogen werden (vgl. Urk. 8/11). Schliesslich stellt auch die interne Kurzstellungnahme von Dr. C.___ vom RAD (Urk. 8/9) offensichtlich keinen beweiskrÃ¤ftigen Ã¤rztlichen Bericht im Sinne der Rechtsprechung dar (Erw. 1.3 hievor). Die EinschÃ¤tzung von Dr. C.___ wÃ¤re zudem schon daher nicht hÃ¶her zu gewichten als diejenige von Dr. A.___, als er im Gegensatz zu Dr. A.___ auf dem Gebiete der Pneumologie nicht spezialisiert ist.</w:t>
      </w:r>
    </w:p>
    <w:p>
      <w:r>
        <w:t>4.3Â Â Â Â  Entgegen der Auffassung der Beschwerdegegnerin erlauben die vorliegenden medizinischen Unterlagen keine zuverlÃ¤ssige Beurteilung des Leistungsanspruchs des BeschwerdefÃ¼hrers. Die Sache ist deshalb zur Einholung ergÃ¤nzender, prÃ¼fend nachvollziehbarer Angaben namentlich bezÃ¼glich ArbeitsfÃ¤higkeit und deren Verlauf (Beginn der EinschrÃ¤nkungen) an die Beschwerdegegnerin zurÃ¼ckzuweisen. In diesem Zusammenhang ist darauf hinzuweisen, dass kein gesetzlicher allgemeiner Anspruch auf Vornahme von Untersuchungen in einer AbklÃ¤rungs- und AusbildungsstÃ¤tte (BEFAS) besteht; solche sind vielmehr nur zu veranlassen, wo sie sich als notwendig erweisen (vgl. Art. 43 Abs 1 ATSG).</w:t>
      </w:r>
    </w:p>
    <w:p>
      <w:r>
        <w:t>Das Gericht erkennt:</w:t>
      </w:r>
    </w:p>
    <w:p>
      <w:r>
        <w:t>1.Â Â Â Â Â Â Â Â  Die Beschwerde wird in dem Sinne gutgeheissen, dass der Einspracheentscheid vom 11. Juli 2005 aufgehoben und die Sache an die Sozialversicherungsanstalt des Kantons ZÃ¼rich, IV-Stelle, zurÃ¼ckgewiesen wird, damit sie im Sinne der ErwÃ¤gungen verfahre und hernach Ã¼ber den Anspruch auf berufliche Massnahmen /Invalidenrente neu verfÃ¼ge.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Gemeinde X, Sozialdienst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