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IV.2005.00818 vom 29. Juni 2006</w:t>
      </w:r>
    </w:p>
    <w:p>
      <w:r>
        <w:t>ZH Sozialversicherungsgericht, 2006-06-29, DE</w:t>
      </w:r>
    </w:p>
    <w:p>
      <w:r>
        <w:rPr>
          <w:b/>
        </w:rPr>
        <w:t xml:space="preserve">Quelle: </w:t>
      </w:r>
      <w:r>
        <w:t>https://mcp.opencaselaw.ch/entscheid/zh_sozialversicherungsgericht_IV.2005.00818</w:t>
      </w:r>
    </w:p>
    <w:p>
      <w:r>
        <w:t>FR: ZH_SOZIALVERSICHERUNGSGERICHT IV.2005.00818 du 29 juin 2006</w:t>
      </w:r>
    </w:p>
    <w:p>
      <w:r>
        <w:t>IT: ZH_SOZIALVERSICHERUNGSGERICHT IV.2005.00818 del 29 giugno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3</w:t>
      </w:r>
    </w:p>
    <w:p>
      <w:r>
        <w:t>3.1Â Â Â Â Â Â Streitig und zu prÃ¼fen ist, ob seit der Rentenzusprache (VerfÃ¼gung vom 26. September 2003) bis zum Einspracheentscheid vom 9. Juni 2005 eine Ãnderung in den tatsÃ¤chlichen VerhÃ¤ltnissen eingetreten ist, die eine revisionsweise Aufhebung der bisherigen halben Rente rechtfertigt.</w:t>
      </w:r>
    </w:p>
    <w:p>
      <w:r>
        <w:rPr>
          <w:b/>
        </w:rPr>
        <w:t>E. 3.2</w:t>
      </w:r>
    </w:p>
    <w:p>
      <w:r>
        <w:t>3.2.1Â Â</w:t>
      </w:r>
    </w:p>
    <w:p>
      <w:r>
        <w:t>Â Â Â Â Â Â Â Â  AnlÃ¤sslich der erstmaligen Rentenzusprache ging die Beschwerdegegnerin ab Oktober 2001 von einer 100%igen beziehungsweise ab August 2003 von einerÂ  50%igen ArbeitsunfÃ¤higkeit (Urk. 7/15) aus. Sie stÃ¼tzte sich dabei auf den Bericht von Dr. D.___ vom 3. Juli 2003 (Urk. 7/19), worin dieser - mit Auswirkungen auf die ArbeitsfÃ¤higkeit - eine "Depression" diagnostizierte undÂ  erklÃ¤rte, unter einer unregelmÃ¤ssigen Psychotherapie und regelmÃ¤ssiger Einnahme von Psychopharmaka sollte sich der Gesundheitszustand zunehmend verbessern, so dass auf "September/Oktober" ein 100%ige ArbeitsfÃ¤higkeit im Bereich des MÃ¶glichen liege. Die BeschwerdefÃ¼hrerin benÃ¶tige immer noch Physiotherapie wegen des HWS-Schleudertraumas (Diagnose ohne Auswirkung auf die ArbeitsfÃ¤higkeit), sie kÃ¶nne jedoch arbeiten.</w:t>
      </w:r>
    </w:p>
    <w:p>
      <w:r>
        <w:t>Â Â Â Â Â Â Â Â  Dr. D.___ berichtete am 25. August 2004 (Urk. 7/18) ausschliesslich von einem stationÃ¤ren Gesundheitszustand beziehungsweise von keiner Ãnderung der Diagnose. Die depressive Grundstimmung sei weiterhin deutlich einschrÃ¤nkend. Die Psychopharmakatherapie ermÃ¶gliche aber eine 50%ige ArbeitsfÃ¤higkeit. Bei grÃ¶sseren Stressbelastungen sei das psychische Gleichgewicht aber deutlich fragil. Somatisch bestÃ¼nden weiterhin HWS-Beschwerden mit kognitiven EinschrÃ¤nkungen. Der Verlauf sei "schwankend gleichmÃ¤ssig". Es mÃ¼sse Ã¼ber eine regelmÃ¤ssige Psychotherapie und Ã¼ber den Versuch, die Psychopharmakatherapie zu verbessern, diskutiert werden. Eine regelmÃ¤ssige Psychotherapie und Psychopharmakatherapie seien notwendig.</w:t>
      </w:r>
    </w:p>
    <w:p>
      <w:r>
        <w:t>3.2.2Â Â  Im Bericht vom 28. Februar 2005 (Urk. 7/17) hielt der gleiche Arzt die folgenden einschrÃ¤nkenden Befunde fest: Depressive Grundstimmung, resignative und lÃ¤hmende Ãngstlichkeit, hervorgerufen durch die psychosoziale Belastung der Arbeitslosigkeit; vermehrte muskulÃ¤re schmerzende Spannung im Nacken-Schulter-Bereich bei vermehrtem Stress. Dr. D.___ erklÃ¤rte, die ArbeitsfÃ¤higkeit kÃ¶nne seines Erachtens bei einem stimulierenden beruflichen Angebot noch immer gesteigert werden. Die 50%ige ArbeitsfÃ¤higkeit sei realistisch, auch wenn die BeschwerdefÃ¼hrerin nicht arbeite. Prognostisch sei "die Chance immer arbeitsunfÃ¤higer zu werden jedoch leider grÃ¶sser".</w:t>
      </w:r>
    </w:p>
    <w:p>
      <w:r>
        <w:t>3.2.3Â Â  Nach schlÃ¼ssiger EinschÃ¤tzung des Dr. D.___ vom 28. Februar 2005 ist das bei der BeschwerdefÃ¼hrerin noch vorhandene Beschwerdebild (depressive Grundstimmung, resignative und lÃ¤hmende Ãngstlichkeit, schmerzende Spannung im Nacken-Schulter-Bereich bei vermehrtem Stress) durch die psychosoziale Belastung der Arbeitslosigkeit hervorgerufen und findet darin ihre hinreichende ErklÃ¤rung. Eine davon zu unterscheidende verselbstÃ¤ndigte (psychische) StÃ¶rung mit Krankheitswert wird weder von Dr. D.___ festgestellt noch seitens der BeschwerdefÃ¼hrerin substantiiert geltend gemacht. So spricht Dr. D.___ denn auch nicht mehr wie ursprÃ¼nglich von einer Depression, sondern von einer depressiven Grundstimmung beziehungsweise von seelischen Problemen, die "durch die zum Teil sehr demÃ¼tigenden Verhaltensweisen potentieller Arbeitgeber" wachgehalten wÃ¼rden. Dementsprechend fehlt es nunmehr an einer invalidenversicherungsrechtlich relevanten GesundheitsbeeintrÃ¤chtigung als Ausgangspunkt einer ArbeitsunfÃ¤higkeit.</w:t>
      </w:r>
    </w:p>
    <w:p>
      <w:r>
        <w:t>Â Â Â Â Â Â Â Â  Wenn Dr. D.___ der BeschwerdefÃ¼hrerin dennoch eine ArbeitsunfÃ¤higkeit von 50 % attestiert, so dÃ¼rfte diese Divergenz bezÃ¼glich der Beurteilung der Zumutbarkeit von Arbeitsleistungen damit zu erklÃ¤ren sein, dass in der heutigen Medizin generell ein bio-psycho-soziales Krankheitsmodell herrscht, wogegen die sozialversicherungsrechtliche Rechtsprechung einem bio-psychischen KrankheitsverstÃ¤ndnis folgt, welches soziale Faktoren weitgehend ausschliesst (vgl. dazu Meyer-Blaser, ArbeitsunfÃ¤higkeit, in: Schaffhauser/Schlauri [Hrsg.], Schmerz und ArbeitsunfÃ¤higkeit, St. Gallen 2003, S. 36). Davon abgesehen hÃ¤lt Dr. D.___ wie bereits erwÃ¤hnt fest, dass die ArbeitsfÃ¤higkeit der BeschwerdefÃ¼hrerin bei einem stimulierenden beruflichen Angebot weiter gesteigert werden kÃ¶nnte.</w:t>
      </w:r>
    </w:p>
    <w:p>
      <w:r>
        <w:t>4.Â Â Â Â Â Â  Was den Einwand der unterlassenen Koordination mit dem Unfallversicherer betrifft, mÃ¼ssen nach der Rechtsprechung (BGE 127 V 135 Erw. 4 d mit Hinweisen) zwar namentlich rechtskrÃ¤ftig abgeschlossene InvaliditÃ¤tsschÃ¤tzungen als Indiz fÃ¼r eine zuverlÃ¤ssige Beurteilung gewichtet und als solches in den Entscheidungsprozess erst spÃ¤ter verfÃ¼gender VersicherungstrÃ¤ger miteinbezogen werden.</w:t>
      </w:r>
    </w:p>
    <w:p>
      <w:r>
        <w:t>Â Â Â Â Â Â Â Â  Wie den vorhandenen Akten entnommen werden kann, dauerte die unfallbedingte ArbeitsunfÃ¤higkeit und die daraus folgende Ausrichtung von Leistungen durch den Unfallversicherer lediglich bis Ende Mai 2002 an (Urk. 7/31, 7/40 und 7/46). Danach bezog die BeschwerdefÃ¼hrerin Leistungen des Kollektiv-Krankentaggeldversicherers (Urk. 7/27). Nachdem seitens des Unfallversicherers zwar ein Begutachtungsauftrag (Urk. 3/2), nicht aber eine rechtskrÃ¤ftig abgeschlossene InvaliditÃ¤tsschÃ¤tzung vorliegt, bleibt fÃ¼r eine Koordination kein Raum.</w:t>
      </w:r>
    </w:p>
    <w:p>
      <w:r>
        <w:t>5.Â Â Â Â Â Â  Zusammenfassend lÃ¤sst sich - ohne dass es weiterer AbklÃ¤rungen bedÃ¼rfte - nicht beanstanden, dass die Beschwerdegegnerin von einer die revisionsweise Aufhebung der bisherigen halben Rente rechtfertigenden Ãnderung in den tatsÃ¤chlichen VerhÃ¤ltnissen ausgegangen ist.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Rechtsanwalt Pablo BlÃ¶chlinger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