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IV.2005.00581 vom 1. November 2006</w:t>
      </w:r>
    </w:p>
    <w:p>
      <w:r>
        <w:t>ZH Sozialversicherungsgericht, 2006-11-01, DE</w:t>
      </w:r>
    </w:p>
    <w:p>
      <w:r>
        <w:rPr>
          <w:b/>
        </w:rPr>
        <w:t xml:space="preserve">Quelle: </w:t>
      </w:r>
      <w:r>
        <w:t>https://mcp.opencaselaw.ch/entscheid/zh_sozialversicherungsgericht_IV.2005.00581</w:t>
      </w:r>
    </w:p>
    <w:p>
      <w:r>
        <w:t>FR: ZH_SOZIALVERSICHERUNGSGERICHT IV.2005.00581 du 1 novembre 2006</w:t>
      </w:r>
    </w:p>
    <w:p>
      <w:r>
        <w:t>IT: ZH_SOZIALVERSICHERUNGSGERICHT IV.2005.00581 del 1 novembre 2006</w:t>
      </w:r>
    </w:p>
    <w:p>
      <w:pPr>
        <w:pStyle w:val="Heading2"/>
      </w:pPr>
      <w:r>
        <w:t>Erwägungen</w:t>
      </w:r>
    </w:p>
    <w:p>
      <w:r>
        <w:rPr>
          <w:b/>
        </w:rPr>
        <w:t>E. 3</w:t>
      </w:r>
    </w:p>
    <w:p>
      <w:r>
        <w:t>anamnestisch MigrÃ¤ne</w:t>
      </w:r>
    </w:p>
    <w:p>
      <w:r>
        <w:rPr>
          <w:b/>
        </w:rPr>
        <w:t>E. 4</w:t>
      </w:r>
    </w:p>
    <w:p>
      <w:r>
        <w:t>arterielle Hypertonie, medikamentÃ¶s behandelt</w:t>
      </w:r>
    </w:p>
    <w:p>
      <w:r>
        <w:rPr>
          <w:b/>
        </w:rPr>
        <w:t>E. 5</w:t>
      </w:r>
    </w:p>
    <w:p>
      <w:r>
        <w:t>anamnestisch KnieschmerzenÂ</w:t>
      </w:r>
    </w:p>
    <w:p>
      <w:r>
        <w:t>Â klinische Untersuchung bland, MRI Knie links am 7. Juni 2002 ebenfalls unauffÃ¤llig</w:t>
      </w:r>
    </w:p>
    <w:p>
      <w:r>
        <w:rPr>
          <w:b/>
        </w:rPr>
        <w:t>E. 6</w:t>
      </w:r>
    </w:p>
    <w:p>
      <w:r>
        <w:t>Status nach parazentralen Lungenembolien beidseits August unklarer Ãtiologie</w:t>
      </w:r>
    </w:p>
    <w:p>
      <w:r>
        <w:t>Â seither Dauerantikoagulation</w:t>
      </w:r>
    </w:p>
    <w:p>
      <w:r>
        <w:t>Â Â Â Â Â Â Â Â  Die multidisziplinÃ¤re Besprechung ergab folgende Beurteilung der ArbeitsfÃ¤higkeit (Urk. 10/19 S. 26 f. Ziff. 6.1.2):</w:t>
      </w:r>
    </w:p>
    <w:p>
      <w:r>
        <w:t>Es ist bei der Explorandin schwierig, einerseits eine angestammte TÃ¤tigkeit festzulegen, andererseits eine dazugehÃ¶rige ArbeitsfÃ¤higkeitslimitierung durch ein medizinisches Leiden zuzuordnen. TatsÃ¤chlich erlitt die Explorandin ihre Verletzung, welche heute im Vordergrund fÃ¼r ihre Beschwerden angegeben wird, im Oktober 1998. TatsÃ¤chlich arbeitete sie anschliessend noch jahrelang in verschiedenen TÃ¤tigkeiten weiter. Die ArbeitsunfÃ¤higkeitsattestierung als LÃ¶terin, nachdem sie diese Stelle ab 1.7.2002 antrat, erfolgte am 27.8.2002 wegen der erlittenen Lungenembolien und nicht wegen der Handprobleme. Erst spÃ¤ter wurden schliesslich die Handprobleme geltend gemacht, welche eine ArbeitsfÃ¤higkeit nicht mehr erlauben wÃ¼rden. Als LÃ¶terin war sie jedoch primÃ¤r aus anderen GrÃ¼nden arbeitsunfÃ¤hig geschrieben. Aus den genannten GrÃ¼nden, wie auch untenstehend festzustellen ist (Diskrepanzen in der Untersuchungssituation), beziehen wir uns auf die medizinisch-theoretische ArbeitsfÃ¤higkeit.</w:t>
      </w:r>
    </w:p>
    <w:p>
      <w:r>
        <w:t>Im Vordergrund der Beschwerden der Explorandin steht die Handproblematik rechts. Es kommt nicht von ungefÃ¤hr, dass bei der Explorandin sehr unterschiedliche EinschÃ¤tzungen bestehen.</w:t>
      </w:r>
    </w:p>
    <w:p>
      <w:r>
        <w:t>Die Problematik liegt einerseits darin, sollte tatsÃ¤chlich eine NervenschÃ¤digung am 16.11.1998 eingetreten sein und sich dann ein neuropathisches Schmerzbild etabliert haben, dass dies bekanntermassen immer schwierig nachvollziehbar ist in der objektiven Untersuchung. Andererseits bestehen auch Diskrepanzen in der aktuellen Handlung der Explorandin mit teilweise normaler Finger- und HandbetÃ¤tigung in unbeobachteten Situationen, dass dies die EinschÃ¤tzung nÃ¤hrt, dass man doch eher auf die objektiven Befunde abstÃ¼tzen sollte, als auf die subjektiven Angaben der Explorandin. Wiederholt wurden bei uns auch ausfÃ¼hrliche Neurographien durchgefÃ¼hrt, die keine motorischen Defizite objektiveren liessen. Es kann wohl eine residuelle SensibilitÃ¤tsstÃ¶rung mit HypÃ¤sthesie und HyperÃ¤sthesien im Versorgungsgebiet des Nervus ulnaris und partiell auch des Nervus medialis in der rechten Hand angenommen werden. Auch in frÃ¼heren Untersuchungen, auch bei Dr. A.___, konnten keine wesentlichen objektivierbaren Befunde festgestellt werden. Das Gleiche lÃ¤sst sich beispielsweise Ã¼ber die Kniebeschwerden sagen bei vÃ¶llig unauffÃ¤lliger klinischer Untersuchung, normalem MRI trotz subjektiver Beschwerdeangabe. Auch der Verlauf der attestierten ArbeitsunfÃ¤higkeit mit lange nicht beeintrÃ¤chtigter ArbeitsfÃ¤higkeit der Explorandin, erst eigentlich 4 Jahre spÃ¤ter sich manifestierender ArbeitsunfÃ¤higkeit, primÃ¤r sogar noch durch die Lungenembolien und nicht durch die Handproblematik ausgelÃ¶st, spricht ebenfalls nicht fÃ¼r ein konsistentes Bild hinsichtlich der somatisch nachvollziehbaren Schmerzursache. Bei widersprÃ¼chlicher Aktensituation und kaum objektivierbaren Befunden, die jedoch auch nicht so sind, dass sie eine ursprÃ¼ngliche LÃ¤sion mit Sicherheit ausschliessen kÃ¶nnten, lÃ¤sst sich abschliessend im Rahmen der Konsensbesprechung aus somatischer Sicht festhalten, dass der Explorandin keine beidseitig schwer belastenden TÃ¤tigkeiten mit den HÃ¤nden mehr zumutbar sind. Der Explorandin ist es auf jeden Fall ohne Zweifel zumutbar, die rechte Hand fÃ¼r StÃ¼tzfunktionen einzusetzen, sicher mit Gebrauch des Daumens und des Zeigefingers. In von der Explorandin unbeobachtet geglaubten Sequenzen mit normalem SchnÃ¼ren eines hohen Schuhes, normalem Ankleiden, krÃ¤ftigem HÃ¤ndedruck in Ablenkung usw., kÃ¶nnen wohl auch die anderen Finger regelmÃ¤ssig eingesetzt werden. Der Explorandin sind also kÃ¶rperlich leichte bis intermittierend mittelschwere TÃ¤tigkeiten, ohne EinschrÃ¤nkung der linken Hand mit mindestens stÃ¼tzender Zudienfunktion der rechten Hand ohne EinschrÃ¤nkung zumutbar.</w:t>
      </w:r>
    </w:p>
    <w:p>
      <w:r>
        <w:t>Aus somatischer Sicht bestehen bei der Explorandin verschiedene frÃ¼her aktive Diagnosen, die heute die ArbeitsfÃ¤higkeit nicht mehr tangieren. Die Explorandin ist dauerantikoaguliert wegen frÃ¼heren Lungenembolien. Dies beeintrÃ¤chtigt die ArbeitsfÃ¤higkeit nicht. Derzeit gibt es keine Manifestationsarten des ursprÃ¼nglichen Hyperparathyreoidismus, die die ArbeitsfÃ¤higkeit tangieren wÃ¼rden. Die im Weiteren angegebenen Kniebeschwerden lassen sich weder durch MRI noch durch die klinische Untersuchung in der geringsten Weise nachvollziehen.</w:t>
      </w:r>
    </w:p>
    <w:p>
      <w:r>
        <w:t>Aus psychiatrischer Sicht kann bei der Explorandin beschreibend eine AnpassungsstÃ¶rung gemÃ¤ss ICD-10 festgestellt werden. Es besteht eine Ã¤ngstliche Selbstbeobachtung mit teilweise Hyperventilationen und NervositÃ¤t sowie Anspannung. Gleichzeitig besteht eine gewisse Somatisierungstendenz, wie dies auch in der somatischen Untersuchungssituation zum Ausdruck kommt, mit Ãberbetonung der Beschwerden. Gleichzeitig besteht eine akzentuierte PersÃ¶nlichkeit, die jedoch per se die ArbeitsfÃ¤higkeit nicht einschrÃ¤nkt, jedoch den Umgang mit der Explorandin an und fÃ¼r sich. Es besteht eine leicht verminderte LeistungsfÃ¤higkeit bei ganztÃ¤giger Zumutbarkeit aus psychiatrischer Sicht um maximal 20 %.</w:t>
      </w:r>
    </w:p>
    <w:p>
      <w:r>
        <w:t>Abschliessend ist festzuhalten, dass der Explorandin kÃ¶rperlich leichte bis intermittierend mittelschwere TÃ¤tigkeiten, gemÃ¤ss der oben erwÃ¤hnten somatischen EinschrÃ¤nkungen, ganztÃ¤gig zumutbar sind mit einer LeistungseinschrÃ¤nkung von maximal 20 %.</w:t>
      </w:r>
    </w:p>
    <w:p>
      <w:r>
        <w:t>Â Â Â Â Â Â Â Â  Aus neurologischer Sicht seien verschiedene Therapie-Optionen vorgeschlagen. Der mehrjÃ¤hrige Verlauf und das nicht Wahrnehmen solcher Massnahmen sei ein weiteres Indiz, dass die subjektive und die objektive Problematik auseinander klaffen wÃ¼rde, weshalb eher von Massnahmen abgeraten werde (Urk. 10/19 S. 29 Ziff. 6.1.7). Aus psychiatrischer Sicht kÃ¶nne eine psychotherapeutische Behandlung vorgeschlagen werden, was vollumfÃ¤nglich zumutbar wÃ¤re. Da der BeschwerdefÃ¼hrerin die diesbezÃ¼gliche Einsicht jedoch vollkommen fehle, sei dies nicht umsetzbar (Urk. 10/19 S. 29 f.).</w:t>
      </w:r>
    </w:p>
    <w:p>
      <w:r>
        <w:t>Â Â Â Â Â Â Â Â  Auf RÃ¼ckfrage der Beschwerdegegnerin (Urk. 10/38) fÃ¼hrte der I.___-Gutachter sodann am 29. Oktober 2004 aus, sowohl in der neurologischen wie in der allgemein-internistischen Untersuchung sei die MigrÃ¤ne von der BeschwerdefÃ¼hrerin nicht und auch auf Nachfrage nur im Hintergrund erwÃ¤hnt worden; deshalb sei diese Diagnose nur als anamnestische eingesetzt worden. Mit Sicherheit sei sie ohne den geringsten Einfluss auf die ArbeitsfÃ¤higkeit (Urk. 10/35 S. 1).</w:t>
      </w:r>
    </w:p>
    <w:p>
      <w:r>
        <w:t>Â Â Â Â Â Â Â Â  Ein relevantes Venenleiden, das einen Einfluss auf die statischen VerhÃ¤ltnisse hÃ¤tte, liege ebenfalls mit Sicherheit nicht vor. Aufgrund der unklaren Lungenembolien seit August 2002 sei die BeschwerdefÃ¼hrerin dauerantikoaguliert und diesbezÃ¼glich adÃ¤quat behandelt, so dass auch hier keine EinschrÃ¤nkung der ArbeitsfÃ¤higkeit bestehe (Urk. 10/35 S. 1 unten).</w:t>
      </w:r>
    </w:p>
    <w:p>
      <w:r>
        <w:t>3.7Â Â Â Â  Am 23. April 2005 erstattete Dr. A.___ ein weiteres Gutachten im Auftrag des Rechtsvertreters der BeschwerdefÃ¼hrerin (Urk. 10/18).</w:t>
      </w:r>
    </w:p>
    <w:p>
      <w:r>
        <w:t>Â Â Â Â Â Â Â Â  Dr. A.___ fÃ¼hrte aus, die von ihm durchgefÃ¼hrten Tests wÃ¼rden das Vorliegen eines CRPS Typ II beweisen (Urk. 10/18 S. 5 unten). Im Hinblick auf die Handproblematik schÃ¤tzte er die ArbeitsfÃ¤higkeit als Hausfrau auf maximal 30 % und diejenige in einer angepassten TÃ¤tigkeit auf 20 bis maximal 25 %, dies unter Verweis auf die Dauerschmerzen, die Schmerzsteigerung durch BerÃ¼hrung, Druck und Belastungen an der rechten Hand sowie durch klimatische und Ã¤ussere TemperatureinflÃ¼sse. Zu berÃ¼cksichtigen seien auch die anderweitigen medizinischen Faktoren wie der Status nach Beinvenenthrombosen, die KalziumstoffwechselstÃ¶rung bei Hyperparathyreoidismus einschliesslich SchilddrÃ¼senfunktionsstÃ¶rungen und die hÃ¤ufigen MigrÃ¤neanfÃ¤lle, vor allem provoziert durch verschiedene Ã¤ussere EinflÃ¼sse wie Computer- und Fernsehbildschirme (Urk. 10/18 S. 7).</w:t>
      </w:r>
    </w:p>
    <w:p>
      <w:r>
        <w:t>Â Â Â Â Â Â Â Â  Das I.___-Gutachten wecke den Gesamteindruck einer vÃ¶lligen UnterschÃ¤tzung des Ernst der Lage; es unterschÃ¤tze oder ignoriere sogar die Auswirkungen einer pathologischen Schmerzentwicklung eines CRPS Typ II. WomÃ¶glich seien die Gutachter diesbezÃ¼glich nicht auf dem aktuellen wissenschaftlichen Kenntnisstand, worauf die veraltete Terminologie (beispielsweise: kausalgiformes Schmerzsyndrom) hinweise; das CRPS Typ II werde nur als Verdachtsdiagnose ÂbeilÃ¤ufig einmal erwÃ¤hntÂ (Urk. 10/18 S. 8).</w:t>
      </w:r>
    </w:p>
    <w:p>
      <w:r>
        <w:t>3.8Â Â Â Â  Am 1. November 2005 fÃ¼hrte der Hausarzt Dr. E.___ zu Handen des Rechtsvertreters der BeschwerdefÃ¼hrerin aus, diese erleide in guten Zeiten einmal wÃ¶chentlich und in schlechten Zeiten alle 1-3 Tage einen MigrÃ¤neschub (Urk. 14 Ziff. 1). Aus ihrem Schmerztagebuch sei ersichtlich, dass sie alle 1-3 Tage an einem mehrstÃ¼ndigen oder mehrtÃ¤gigen cervicocephalen Schmerzsyndrom leide; derweilen sei keine TÃ¤tigkeit mÃ¶glich (Urk. 14 Ziff. 2). Die MigrÃ¤ne kÃ¶nne nicht gÃ¤nzlich von den anderen Symptomenkreisen (Blutdruck, Handgelenksschmerzen, Lunge, Thoraxwandschmerzen, cervikospondylogene Beschwerden, Venen-Beinbeschwerden, Depression) losgelÃ¶st gesehen werden (Urk. 14 Ziff. 3).</w:t>
      </w:r>
    </w:p>
    <w:p>
      <w:r>
        <w:t>3.9Â Â Â Â  Am 29. November 2005 fÃ¼hrte Dr. med. H.___, Regionaler Ãrztlicher Dienst der Beschwerdegegnerin, unter anderem aus, Befundbeschreibung und arbeitsmedizinische Beurteilung im ersten Gutachten von Dr. A.___ (2001) und im I.___-Gutachten stimmten weitgehend Ã¼berein (Urk. 19 S. 1), wÃ¤hrend die von Dr. A.___ 2004 bei unverÃ¤ndertem Befund nunmehr revidierte EinschÃ¤tzung der ArbeitsfÃ¤higkeit - dies zudem unter Einbezug anderer als der handchirurgischen Probleme - nicht Ã¼berzeuge (Urk. 19 S. 2). Auf eine im I.___-Gutachten festgestellte gewisse Somatisierungstendenz weise der Umstand hin, dass nun auch Beschwerden in der rechten UnterextremitÃ¤t und der GesichtshÃ¤lfte beklagt wÃ¼rden, ohne dass ihnen eine entsprechende organische Grundlage zugeordnet werden kÃ¶nne (Urk. 19 S. 2 Mitte). Das Arztzeugnis von Dr. E.___ ergebe zur MigrÃ¤neproblematik keine neuen Erkenntnisse: Die MigrÃ¤ne sei im Gutachten von Dr. F.___ und des I.___ eingehend gewÃ¼rdigt worden; die Angaben zur HÃ¤ufigkeit der AnfÃ¤lle widersprÃ¤chen sich erheblich. Zudem werde gemÃ¤ss Dr. E.___ ein klassisches MigrÃ¤ne-Anfallsmittel seit einigen Jahren mit Erfolg angewendet (Urk. 19 S. 2 f.).</w:t>
      </w:r>
    </w:p>
    <w:p>
      <w:r>
        <w:t>4.</w:t>
      </w:r>
    </w:p>
    <w:p>
      <w:r>
        <w:t>4.1Â Â Â Â  Im Hinblick auf die WÃ¼rdigung der medizinischen Situation fÃ¤llt ins Gewicht, dass das I.___-Gutachten auf eigenstÃ¤ndigen internistischen, neurologischen und psychiatrischen AbklÃ¤rungen, mithin auf allseitigen Untersuchungen beruht und damit fÃ¼r die streitigen Belange umfassend ist. Es wurden die umfangreichen Vorakten verwertet und die von der BeschwerdefÃ¼hrerin geklagten Beschwerden berÃ¼cksichtigt. Das Gutachten leuchtet in der Darlegung der medizinischen ZusammenhÃ¤nge - insbesondere dem Zusammenspiel der psychischen und der somatischen Elemente - und in der Beurteilung der medizinischen Situation ein, dies insbesondere auch durch die Auseinandersetzung mit frÃ¼heren, teilweise divergierenden Ã¤rztlichen Beurteilungen. Vor diesem Hintergrund vermÃ¶gen auch die darin enthaltenen Schlussfolgerungen, namentlich die Umschreibung der leidensangepasst zumutbaren TÃ¤tigkeiten und deren Umfang, zu Ã¼berzeugen.</w:t>
      </w:r>
    </w:p>
    <w:p>
      <w:r>
        <w:t>Â Â Â Â Â Â Â Â  Das I.___-Gutachten erfÃ¼llt mithin alle praxisgemÃ¤ssen Kriterien (vgl. BGE 125 V 352 Erw. 3a, 122 V 160 Erw. 1c), so dass grundsÃ¤tzlich darauf abzustellen ist.</w:t>
      </w:r>
    </w:p>
    <w:p>
      <w:r>
        <w:t>4.2Â Â Â Â  Der Handchirurg Dr. A.___ Ã¤usserte dezidierte Kritik an den Schlussfolgerungen des I.___-Gutachtens und bezweifelte die fachlichen Qualifikationen der Gutachter, weil sie angeblich der Schmerzproblematik im Zusammenhang mit dem CRPS Typ II nicht gerecht geworden seien.</w:t>
      </w:r>
    </w:p>
    <w:p>
      <w:r>
        <w:t>Â Â Â Â Â Â Â Â  Die Differenz liegt allerdings nicht in diesem Punkt. Das I.___-Gutachten befasste sich nÃ¤mlich - entgegen der Behauptung von Dr. A.___ - durchaus mit dem Complex Regional Pain Syndrome: Der neurologische Gutachter bezeichnete es als wahrscheinlich, obwohl aktuell keine trophischen StÃ¶rungen sichtbar waren. Auch in der abschliessenden Diagnose - also keineswegs ÂbeilÃ¤ufig einmalÂ - wurde ein CRPS als nicht sicher auszuschliessen aufgefÃ¼hrt. Dass, wie von Dr. A.___ behauptet, die Verwendung des Ausdrucks Âkausalgiformes SchmerzsyndromÂ auf fachliche Inkompetenz schliessen liesse, erstaunt insofern, als Dr. A.___ selber in seinem Gutachten von 2001 den Ausdruck ÂKausalgieÂ in die Diagnosestellung aufnahm.</w:t>
      </w:r>
    </w:p>
    <w:p>
      <w:r>
        <w:t>Â Â Â Â Â Â Â Â  Unterschiedlich ist somit nicht die Befassung mit dem CRPS, unterschiedlich ist die EinschÃ¤tzung der damit verbundenen EinschrÃ¤nkung der ArbeitsfÃ¤higkeit. Hier fÃ¤llt ins Gewicht, dass Dr. A.___ als Folge der - zweifellos gegebenen - FunktionseinschrÃ¤nkung der rechten, dominanten Hand eine ArbeitsunfÃ¤higkeit im Haushalt und in leidensangepasster TÃ¤tigkeit in einem Umfang postulierte, der jeglicher Nachvollziehbarkeit entbehrt. Bezeichnenderweise nannte Dr. A.___ denn auch zahlreiche weitere medizinische Faktoren, die seines Erachtens die ArbeitsfÃ¤higkeit beeintrÃ¤chtigten. Damit bewegte er sich allerdings weit ausserhalb seines Spezialgebiets, der Handchirurgie, und nahm - dem Anspruch nach - eine Gesamtbeurteilung vor, wozu die polydisziplinÃ¤re Begutachtung anerkanntermassen deutlich geeigneter ist als das engagierte Urteil eines einzelnen Spezialisten.</w:t>
      </w:r>
    </w:p>
    <w:p>
      <w:r>
        <w:t>Â Â Â Â Â Â Â Â  Soweit der seit 2002 zustÃ¤ndige Hausarzt Beurteilungen abgab, welche denjenigen im I.___-Gutachten widersprechen, ist darauf hinzuweisen, dass sich bereits fÃ¼r die - einzig - von ihm diagnostizierte Gonarthrose kein bildgebendes Korrelat gefunden hat, was annehmen lÃ¤sst, dass seine Diagnose nicht auf entsprechenden Befunden, sondern auf Beschwerdeschilderungen der BeschwerdefÃ¼hrerin beruhte. Dass dies keine genÃ¼gende Basis ist, um von den befundmÃ¤ssig belegten und nachvollziehbar begrÃ¼ndeten EinschÃ¤tzungen des Gutachtens abzuweichen, ist offensichtlich, weshalb darauf nicht weiter einzugehen ist.</w:t>
      </w:r>
    </w:p>
    <w:p>
      <w:r>
        <w:t>4.3Â Â Â Â  Somit ist auf die Beurteilung der ArbeitsfÃ¤higkeit in leidensangepasster TÃ¤tigkeit abzustellen, die sich aus dem I.___-Gutachten ergibt (Urk. 10/19 S. 27):</w:t>
      </w:r>
    </w:p>
    <w:p>
      <w:r>
        <w:t>Â Â Â Â Â Â Â Â  Keine BeeintrÃ¤chtigung der ArbeitsfÃ¤higkeit resultiert aus den 2002 aufgetretenen Lungenembolien, dem Hyperparathyreoidismus, den angegebenen Kniebeschwerden und der im Begutachtungszeitpunkt anamnestischen MigrÃ¤ne. Limitierend ist einerseits eine psychische Komponente, dies im Umfang von maximal 20 %, und andererseits die BeeintrÃ¤chtigung durch die Beschwerden an der rechten Hand. Diese kann - nur, aber immerhin - fÃ¼r StÃ¼tzfunktionen, sicher mit Gebrauch des Daumens und des Zeigefingers, eingesetzt werden. Ohne EinschrÃ¤nkung zumutbar sind der BeschwerdefÃ¼hrerin kÃ¶rperlich leichte bis intermittierend mittelschwere TÃ¤tigkeiten, ohne EinschrÃ¤nkung der linken Hand, mit mindestens stÃ¼tzender Zudienfunktion der rechten Hand.</w:t>
      </w:r>
    </w:p>
    <w:p>
      <w:r>
        <w:t>4.4Â Â Â Â  Vor diesem Hintergrund erscheint die Annahme der Beschwerdegegnerin, der BeschwerdefÃ¼hrerin sei die angestammte TÃ¤tigkeit - beziehungsweise die zuletzt ausgeÃ¼bte TÃ¤tigkeit als LÃ¶terin - noch im Umfang zu 80 % zumutbar, als zu weitgehend. Zwar ist richtig, dass bei einer den genannten Anforderungen entsprechenden TÃ¤tigkeit lediglich die psychisch begrÃ¼ndete EinschrÃ¤nkung von 20 % zu berÃ¼cksichtigen ist, da die eingeschrÃ¤nkte Verwendbarkeit der rechten Hand sich nicht im zeitlichen Umfang, sondern in der Art der noch in Frage kommenden TÃ¤tigkeit niederschlÃ¤gt. Was allerdings als angestammte TÃ¤tigkeit zu betrachten ist, und ob diese den genannten Anforderungen genÃ¼gen wÃ¼rde, ist mit den I.___-Gutachtern (vgl. Urk. 10/19 S. 26 Ziff. 6.1.2) als offene Frage zu betrachten.</w:t>
      </w:r>
    </w:p>
    <w:p>
      <w:r>
        <w:t>Â Â Â Â Â Â Â Â  Somit ist die erwerblich relevante EinschrÃ¤nkung anhand des Einkommensvergleichs zu ermitteln.</w:t>
      </w:r>
    </w:p>
    <w:p>
      <w:r>
        <w:t>5.</w:t>
      </w:r>
    </w:p>
    <w:p>
      <w:r>
        <w:t>5.1Â Â Â Â  Unter dem Valideneinkommen ist jenes Einkommen zu verstehen, welches die versicherte Person als Gesunde tatsÃ¤chlich erzielen wÃ¼rde (ZAK 1992 S. 92 Erw. 4a, 1961 S. 367). Die Einkommensermittlung hat so konkret wie mÃ¶glich zu erfolgen.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am Ende; vgl. auch ZAK 1990 S. 519 Erw. 3c).</w:t>
      </w:r>
    </w:p>
    <w:p>
      <w:r>
        <w:t>5.2Â Â Â Â  Der heute relevante Gesundheitsschaden geht nach Ã¤rztlicher Beurteilung auf die NervenlÃ¤sion im November 1998 zurÃ¼ck. Von 1. April 1997 bis 30. Juni 1999 war die BeschwerdefÃ¼hrerin als Mitarbeiterin Warenannahme tÃ¤tig und erzielte gemÃ¤ss Angaben der damaligen Arbeitgeberin einen Monatslohn von Fr. 3'400.-- (Urk. 10/65 Ziff. 1, 6, 16 und 21); eine Gratifikation gleicher HÃ¶he wurde nur im Austrittsjahr (1999), nicht aber 1997 und 1998 ausgerichtet, so dass von einem Jahreseinkommen von Fr. 40'800.-- (Fr. 3'400.-- x 12) auszugehen ist, was mit dem Eintrag im individuellen Konto (Urk. 10/50) fÃ¼r das Jahr 1998 Ã¼bereinstimmt.</w:t>
      </w:r>
    </w:p>
    <w:p>
      <w:r>
        <w:t>Â Â Â Â Â Â Â Â  Angepasst an die seitherige sektorspezifische Nominallohnentwicklung von 0,4 % im Jahr 1999, 1,0 % im Jahr 2000, 2,4 % im Jahr 2001 und 1,9 im Jahr (der Anmeldung) 2002 (Die Volkswirtschaft, 11/2005, S. 87, Tab. B 10.2 lit. G, H) resultiert der Betrag von Fr. 43'717.-- (Fr. 40'800.-- x 1,004 x 1,01 x 1,024 x 1,019).</w:t>
      </w:r>
    </w:p>
    <w:p>
      <w:r>
        <w:t>Â Â Â Â Â Â Â Â  Somit ist von einem Valideneinkommen im Jahr 2002 von Fr. 43'717.-- auszugehen.</w:t>
      </w:r>
    </w:p>
    <w:p>
      <w:r>
        <w:t>5.3Â Â Â Â  Im Jahr 2002 betrug das mittlere Einkommen, das Frauen in einfachen und repetitiven TÃ¤tigkeiten im Durchschnitt aller Wirtschaftszweige erzielten, Fr. 3'820.-- pro Monat (Lohnstrukturerhebung LSE 2002, S. 43, Tab. TA 1, Total, Niveau 4), was Fr. 45'840.-- im Jahr entspricht (Fr. 3'820.-- x 12). Angepasst an die durchschnittliche Arbeitszeit von 41,7 Stunden ergibt dies Fr. 47'788.-- (Fr. 48'840.-- : 40,0 x 41,7).</w:t>
      </w:r>
    </w:p>
    <w:p>
      <w:r>
        <w:t>Â Â Â Â Â Â Â Â  Zu berÃ¼cksichtigen ist nun die attestierte EinschrÃ¤nkung von 20 %, indem von einer ArbeitsfÃ¤higkeit von lediglich 80 % auszugehen ist.</w:t>
      </w:r>
    </w:p>
    <w:p>
      <w:r>
        <w:t>Â Â Â Â Â Â Â Â</w:t>
      </w:r>
    </w:p>
    <w:p>
      <w:r>
        <w:t>Â Â Â Â Â Â Â Â  Andererseits sind die nur noch vermindert bestehenden EinsatzmÃ¶glichkeiten der dominanten rechten Hand in Rechnung zu stellen, weil sie die BeschwerdefÃ¼hrerin auf entsprechend geeignete TÃ¤tigkeiten einschrÃ¤nken. In Anlehnung an die diesbezÃ¼gliche Praxis (vgl. die Kasuistik im Urteil des EidgenÃ¶ssischen Versicherungsgerichts vom 30. August 2005 in Sachen S., U 122/05, Erw. 3.2.2) ist dieser Umstand mit einem Abzug vom Tabellenlohn von 15 % zu berÃ¼cksichtigen.</w:t>
      </w:r>
    </w:p>
    <w:p>
      <w:r>
        <w:t>Â Â Â Â Â Â Â Â  Somit resultiert ein Invalideneinkommen im Jahr 2002 von Fr. 32'496.-- (Fr. 47'788.-- x 0,8 x 0,85).</w:t>
      </w:r>
    </w:p>
    <w:p>
      <w:r>
        <w:t>5.4Â Â Â Â  Der Vergleich des hypothetischen Valideneinkommens von Fr. 43'717.-- im Jahr 2002 mit dem hypothetischen Invalideneinkommen im Jahr 2002 von Fr. 32'496.-- ergibt eine Einkommenseinbusse von Fr. 11'221.--, was einem InvaliditÃ¤tsgrad von 26 % entspricht.</w:t>
      </w:r>
    </w:p>
    <w:p>
      <w:r>
        <w:t>Â Â Â Â Â Â Â Â  Demnach ist der angefochtene Entscheid, mit dem ein Anspruch auf eine Invalidenrente verneint wurde, nicht zu beanstanden.</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Frank Goecke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