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IV.2005.00454 vom 26. März 2006</w:t>
      </w:r>
    </w:p>
    <w:p>
      <w:r>
        <w:t>ZH Sozialversicherungsgericht, 2006-03-26, DE</w:t>
      </w:r>
    </w:p>
    <w:p>
      <w:r>
        <w:rPr>
          <w:b/>
        </w:rPr>
        <w:t xml:space="preserve">Quelle: </w:t>
      </w:r>
      <w:r>
        <w:t>https://mcp.opencaselaw.ch/entscheid/zh_sozialversicherungsgericht_IV.2005.00454</w:t>
      </w:r>
    </w:p>
    <w:p>
      <w:r>
        <w:t>FR: ZH_SOZIALVERSICHERUNGSGERICHT IV.2005.00454 du 26 mars 2006</w:t>
      </w:r>
    </w:p>
    <w:p>
      <w:r>
        <w:t>IT: ZH_SOZIALVERSICHERUNGSGERICHT IV.2005.00454 del 26 marzo 2006</w:t>
      </w:r>
    </w:p>
    <w:p>
      <w:pPr>
        <w:pStyle w:val="Heading2"/>
      </w:pPr>
      <w:r>
        <w:t>Erwägungen</w:t>
      </w:r>
    </w:p>
    <w:p>
      <w:r>
        <w:rPr>
          <w:b/>
        </w:rPr>
        <w:t>E. 3</w:t>
      </w:r>
    </w:p>
    <w:p>
      <w:r>
        <w:t>Zustellung gegen Empfangsschein an:</w:t>
      </w:r>
    </w:p>
    <w:p>
      <w:r>
        <w:t>- Z.___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rPr>
          <w:b/>
        </w:rPr>
        <w:t>E. 3.1</w:t>
      </w:r>
    </w:p>
    <w:p>
      <w:r>
        <w:t>Verwaltungsweisungen richten sich an die DurchfÃ¼hrungsstellen und sind fÃ¼r das Sozialversicherungsgericht nicht verbindlich. Dieses soll sie bei seiner Entscheidung berÃ¼cksichtigen, sofern sie eine dem Einzelfall angepasste und gerecht werdende Auslegung der anwendbaren gesetzlichen Bestimmungen zulassen. Das Gericht weicht also nicht ohne triftigen Grund von Verwaltungsweisungen ab, wenn diese eine Ã¼berzeugende Konkretisierung der rechtlichen Vorgaben darstellen. Insofern wird dem Bestreben der Verwaltung, durch interne Weisung eine rechtsgleiche Gesetzesanwendung zu gewÃ¤hrleisten, Rechnung getragen (BGE 130 V 172 Erw. 4.3.1, 232 Erw. 2.1, 129 V 204 Erw. 3.2, 127 V 61 Erw. 3a, 126 V 68 Erw. 4b, 427 Erw. 5a).</w:t>
      </w:r>
    </w:p>
    <w:p>
      <w:r>
        <w:t>3.2Â Â Â Â</w:t>
      </w:r>
    </w:p>
    <w:p>
      <w:r>
        <w:t>3.2.1Â Â  Sinn und Zweck von Rz 8053 des KSIH des BSV ist, entsprechend der ratio legis (Art. 42 Abs. 3 IVG) den Umfang der Leistungspflicht der Invalidenversicherung hinsichtlich des Anspruchs auf HilflosenentschÃ¤digung bei einem Bedarf an lebenspraktischer Begleitung mÃ¶glichst genau zu umschreiben. Im Folgenden ist zu untersuchen, ob das BSV dazu kompetent war, und ob die strittige Anspruchsvoraussetzung von durchschnittlich zwei Stunden pro Woche Ã¼ber eine Periode von drei Monaten gerechnet gesetzeskonform ist.</w:t>
      </w:r>
    </w:p>
    <w:p>
      <w:r>
        <w:t>3.2.2Â Â  Die Entstehungsgeschichte (zur Bedeutung der Materialien fÃ¼r die Gesetzesauslegung, insbesondere bei verhÃ¤ltnismÃ¤ssig jungen Gesetzen siehe BGE 126 V 439 Erw. 3b mit Hinweisen) des Art. 42 Abs. 3 IVG zeigt, dass die Kompetenz zur Konkretisierung dieser Bestimmung vom Gesetzgeber an die Verwaltung delegiert worden ist. So ging der Bundesrat in der Botschaft zur 4. IVG-Revision vom 21. Februar 2001 (BBl 2001 S. 3245 f.), in welcher noch von AssistenzentschÃ¤digung anstelle des dann beibehaltenen Begriffs der HilflosenentschÃ¤digung die Rede war, davon aus, dass Menschen mit psychischen oder leichten geistigen Behinderungen auf Hilfe und Assistenz im persÃ¶nlichen Leben angewiesen seien. Um auch ihnen ein selbstbestimmtes Leben zu ermÃ¶glichen, solle die AssistenzentschÃ¤digung auch fÃ¼r sie eingefÃ¼hrt werden. In der Regel benÃ¶tigten psychisch und leicht geistig Behinderte hauptsÃ¤chlich lebenspraktische Begleitung. Da das geltende System in erster Linie auf die BeeintrÃ¤chtigung kÃ¶rperlicher Funktionen abstelle, erhielten heute psychisch und leicht geistig Behinderte oftmals keine HilflosenentschÃ¤digung. Weil auch bei diesen Personen ein Assistenzbedarf vorliegen kÃ¶nne, schlug der Bundesrat vor, eine AssistenzentschÃ¤digung fÃ¼r lebenspraktische Begleitung einzufÃ¼hren. Sie solle aber nur eine AssistenzentschÃ¤digung der niedrigen Stufe sein. Die Anspruchsvoraussetzungen seien in der Verordnung klar zu umschreiben. Ebenso schlug der Bundesrat in der Botschaft eine Kompetenzdelegation vom Gesetzgeber an die Verwaltung hinsichtlich der genauen Abgrenzung der AssistenzentschÃ¤digung vom Begleiteten Wohnen und die Festlegung der Voraussetzungen der Finanzierung dieser Dienste auf Weisungsebene vor (BBl 2001 S. 3245 Fussnote 44). BundesrÃ¤tin Ruth Dreifuss betonte in der parlamentarischen Beratung im Zusammenhang mit dem Votum von StÃ¤nderat Franz Wicki, wonach es zur Vermeidung von Unsicherheiten bei den Leistungserbringern, Amtsstellen und auch den Gerichten notwendig sei, die objektivierbaren Kriterien fÃ¼r die Definition des Begriffes der "lebenspraktischen Begleitung" festzulegen (Amtl. Bull. [AB] 2002 StÃ¤nderat S 759), dass durch Verordnung und Weisungen ein sehr strenger Massstab an die Voraussetzungen des Anspruchs auf lebenspraktische Begleitung anzulegen sei ("La lÃ©gislation actuelle, en mettant l'accent sur les moyens auxilliaires, l'aide materielle, physique qui doit Ãªtre apportÃ©e, ne tient pas suffisamment compte du risque de dÃ©gradation de l'Ã©tat d'invalides qui, s'ils n'ont pas par exemple la visite d'une infirmiÃ¨re de santÃ© publique psychiatrique qui veille Ã  ce qu'ils se lÃ¨vent ou Ã  ce qu'ils sortent de chez eux, qui les accompagne chez le mÃ©dicin, tombent vraiment dans des situations de plus grande invaliditÃ©. C'est cela qui est entendu, c'est ainsi que cela est aussi dÃ©crit dans le message. C'est une compÃ©tence de fixer par ordonnance les conditions d'octroi. C'est par ordonnance et directives, ici, que nous prÃ©voyons de dÃ©finir de faÃ§on trÃ¨s stricte les prestations qui relÃ¨vent de ce besoin d'assistance. "[...]". Je suis tout Ã  fait d'accord avec vous: il faut que les choses soient claires pour ne pas crÃ©er de faux espoires, mais je vous rappelle que dans le systÃ¨me des assurances sociales, de nombreuses dÃ©finitions de prestations sont faites par la voie de l'ordonnance, et non pas de la loi. Il y a lÃ  de faÃ§on implicite, mais parce que c'est tout Ã  fait la logique de l'ensemble de la loi, une dÃ©lÃ©gation de compÃ©tence pour la dÃ©finition, qui est faite aux organes d'exÃ©cution de l'Al" [AB StÃ¤nderat 2002 S 760]).</w:t>
      </w:r>
    </w:p>
    <w:p>
      <w:r>
        <w:t>Â Â Â Â Â Â Â Â  Nachdem der historische Gesetzgeber zum einen die Konkretisierung des Anspruchs auf lebenspraktische Begleitung an die Verwaltung delegiert hat und zum anderen an die Voraussetzungen des Anspruchs auf lebenspraktische Begleitung einen "sehr strengen Massstab" anlegen wollte, ist es grundsÃ¤tzlich nicht zu beanstanden, wenn das BSV in Rz 8053 des KSIH von dieser Kompetenz Gebrauch gemacht hat.</w:t>
      </w:r>
    </w:p>
    <w:p>
      <w:r>
        <w:t>3.2.3Â Â  Sinn und Zweck des Anspruchs auf lebenspraktische Begleitung ist es, Menschen mit psychischen oder leichten geistigen Behinderungen, welche auf Hilfe und Assistenz angewiesen sind, ein selbstbestimmtes Leben zu ermÃ¶glichen, damit eine schwere Verwahrlosung beziehungsweise der Eintritt in eine stationÃ¤re Einrichtung nach MÃ¶glichkeit hinausgeschoben oder verhindert werden kann (vgl. Botschaft des Bundesrates zur 4. IV-Revision in BBl 2001 S. 3245 und AB 2002 StÃ¤nderat S 757 sowie KSIH des BSV Rz 8040). Im Folgenden ist zu prÃ¼fen, ob es sich bei den in Rz 8053 des KSIH aufgestellten zeitlichen Anforderungen um eine gesetzeskonforme Konkretisierung des Begriffs der "RegelmÃ¤ssigkeit" im Sinne von Art. 42 Abs. 3 IVG in Verbindung mit Art. 38 Abs. 3 IVV handelt.</w:t>
      </w:r>
    </w:p>
    <w:p>
      <w:r>
        <w:t>Â Â Â Â Â Â Â Â  Ist eine Person - wie im vorliegenden Fall - lediglich dauernd auf lebenspraktische Begleitung angewiesen, so liegt immer eine leichte Hilflosigkeit vor (Art. 42 Abs. 3 Satz 3 IVG). Wie beim Anspruch auf lebenspraktische Begleitung im Sinne von Art. 38 Abs. 3 IVV ist auch bei den anderen Voraussetzungen fÃ¼r eine HilflosenentschÃ¤digung leichten Grades gemÃ¤ss Art. 37 Abs. 3 IVV nebst dem Element der Dauerhaftigkeit (vgl. Erw. 1.4 hiervor) auch die RegelmÃ¤ssigkeit erforderlich. GemÃ¤ss Art. 37 Abs. 3 lit. a und d IVV ist die Hilfe regelmÃ¤ssig , wenn sie die versicherte Person tÃ¤glich benÃ¶tigt oder eventuell tÃ¤glich nÃ¶tig hat (ZAK 1986 S. 484), beinhaltet die dauernde Pflege (Art. 37 Abs. 3 lit. c IVV) beziehungsweise die medizinische oder pflegerische Hilfeleistung zum Beispiel das tÃ¤gliche Verabreichen von Medikamenten oder das Anlegen einer Bandage (ZAK 1980 S. 66) und muss zur ErfÃ¼llung der Voraussetzung der dauernden persÃ¶nlichen ÃberwachungsbedÃ¼rftigkeit gemÃ¤ss Art. 37 Abs. 3 lit. b IVV eine Drittperson mit kleineren UnterbrÃ¼chen bei der Versicherten anwesend sein, da sie nicht allein gelassen werden kann (ZAK 1989 S. 174 Erw. 3b, 1986 S. 484, 1980 S. 68 Erw. 4.b [zum Beispiel wegen geistiger Absenz]). Ebenso ist die GewÃ¤hrung eines Intensivpflegezuschlages zur HilflosenentschÃ¤digung fÃ¼r MinderjÃ¤hrige, welche infolge BeeintrÃ¤chtigung der Gesundheit zusÃ¤tzlich intensiver pflegerischer Betreuung bedÃ¼rfen, von einem tÃ¤glichen Mindestpflegebedarf von vier Stunden abhÃ¤ngig (Art. 42 ter Abs. 3 IVG in Verbindung mit Art. 39 Abs. 1 IVV). Im Weiteren knÃ¼pfte auch der frÃ¼here Anspruch auf HauspflegebeitrÃ¤ge im Sinne von Art. 14 Abs. 1 lit. a IVG in Verbindung mit aArt. 4 Abs. 1 und 2 IVV, welche im Zuge der 4. IVG-Revision aufgehoben und durch die HilflosenentschÃ¤digung mit Intensivpflegezuschlag im Sinne von Art. 42 ter Abs. 3 IVG in Verbindung mit Art. 39 IVV ersetzt wurden, an eine Ãberschreitung des zumutbaren Masses des invaliditÃ¤tsbedingt zu leistenden Betreuungsaufwandes in der Hauspflege wÃ¤hrend mehr als drei Monaten an. Im Sinne dieser Bestimmungen galt das zumutbare Mass an Betreuungsaufwand als Ã¼berschritten, sobald im Tagesdurchschnitt invaliditÃ¤tsbedingt zusÃ¤tzliche Pflege von mehr als zwei Stunden oder eine dauernde Ãberwachung notwendig war.</w:t>
      </w:r>
    </w:p>
    <w:p>
      <w:r>
        <w:t>Â Â Â Â Â Â Â Â  Aufgrund der soeben erwÃ¤hnten Konstellationen fÃ¼r einen Anspruch auf HilflosenentschÃ¤digung leichten Grades sowie der Regelung beim Intensivpflegebeitrag beziehungsweise dem frÃ¼heren Hauspflegebeitrag kann nicht beanstandet werden und widerspricht es nicht den gesetzlichen Vorgaben, wenn die Verwaltung auch hinsichtlich des Bedarfs an lebenspraktischer Begleitung unter dem Aspekt der RegelmÃ¤ssigkeit ein anspruchsbegrÃ¼ndendes, zeitliches Mindestmass von durchschnittlich zwei Stunden pro Woche gerechnet Ã¼ber eine Periode von drei Monaten voraussetzt. Mit Blick auf das verfassungsmÃ¤ssig geforderte Gleichbehandlungsgebot hÃ¤lt eine solche Konkretisierung insbesondere auch vor denjenigen AnwendungsfÃ¤llen, in denen versicherte Personen eine HilflosenentschÃ¤digung leichten Grades im Sinne von Art. 37 Abs. 3 lit. a bis lit. d IVV beziehen, stand, und es wÃ¤re wohl sachlich nicht zu begrÃ¼nden, wenn bei der lebenspraktischen Begleitung ein BedÃ¼rfnis von zum Beispiel einer Viertelstunde pro Woche genÃ¼gen wÃ¼rde.</w:t>
      </w:r>
    </w:p>
    <w:p>
      <w:r>
        <w:t>Â Â Â Â Â Â Â Â  Zusammenfassend ergibt sich, dass das streitige zeitliche Mindestmass von durchschnittlich zwei Stunden pro Woche gerechnet Ã¼ber eine Periode von drei Monaten in der normativen Ordnung abgestÃ¼tzt ist und sich als gesetzeskonform erweist.</w:t>
      </w:r>
    </w:p>
    <w:p>
      <w:r>
        <w:t>3.3Â Â Â Â  Bei der Frage, welche TÃ¤tigkeiten der hilfeleistenden Institution beziehungsweise Person an die Betreuungszeit angerechnet werden dÃ¼rfen, geht es nebst der eigentlichen Betreuung vor Ort, das heisst in der Wohnung der versicherten Person, auch um den zeitlichen Aufwand fÃ¼r beispielsweise interne Sitzungen, Schulungen und allgemeine Administration (Rechnungswesen, DossierfÃ¼hrung etc.), den Anfahrtsweg und den im Schreiben des BSV vom 14. Juli 2004 (Urk. 10, beigezogen aus dem Verfahren Nr. IV.2005.00132 des hiesigen Gerichts) als mit Vernetzungsarbeiten bezeichneten TÃ¤tigkeiten, wie das FÃ¼hren von GesprÃ¤chen und Vereinbaren von Terminen mit Arbeitgebern, Ãrzten, Vermietern sowie BehÃ¶rden. Vorliegend strittig ist insbesondere auch, ob die Regelung von finanziellen Angelegenheiten, wie beispielsweise das Bezahlen von Rechnungen oder die Budgetverwaltung, an die Betreuungszeit angerechnet werden kann. Sachlich nicht begrÃ¼ndet ist, die Beantwortung dieser Frage an das Kriterium des AusfÃ¼hrungsortes anzuknÃ¼pfen. Vielmehr gebietet es Sinn und Zweck des Anspruchs auf lebenspraktische Begeleitung, dass nur diejenigen TÃ¤tigkeiten anrechenbar sind, welche in einem direkten Zusammenhang mit der Erbringung der fraglichen Hilfeleistung stehen. Vor diesem Hintergrund kÃ¶nnen die Aufwendungen, welche die betreuende Person beziehungsweise Institution mit dem Anfahrtsweg sowie sÃ¤mtlichen internen administrativen TÃ¤tigkeiten - wie unter anderem Schulungen, Sitzungen, DossierfÃ¼hrung - hat, nicht an die Betreuungszeit angerechnet werden. Anders verhÃ¤lt es sich hingegen mit den sogenannten VernetzungstÃ¤tigkeiten und der Regelung von finanziellen Angelegenheiten, welche die betreuende Person fÃ¼r die versicherte Person allenfalls nicht von deren Wohnung, sondern von ihren eigenen RÃ¤umlichkeiten aus erbringt. So handelt es sich diesbezÃ¼glich grundsÃ¤tzlich um solche TÃ¤tigkeiten, welche in einem direkten Zusammenhang mit der Erbringung der Hilfeleistung stehen, sofern sie nicht als Vertretungs- und VerwaltungstÃ¤tigkeiten nach Art. 398-419 Zivilgesetzbuch zu qualifizieren sind.</w:t>
      </w:r>
    </w:p>
    <w:p>
      <w:r>
        <w:t>Â Â Â Â Â Â Â Â  Die gegenteilige Argumentation der BeschwerdefÃ¼hrerin vermag nicht zu Ã¼berzeugen. Mangels Analogie zum vorliegenden Sachverhalt ist nicht einsichtig, wie der Vergleich mit den Administrativkosten einer Arztpraxis oder den Wegkosten des Hausbesuches eines Arztes und den Aufwendungen fÃ¼r die DossierfÃ¼hrung eines Apothekers zu einem anderen Schluss fÃ¼hren sollte. So geht es vorliegend nicht um die Frage nach der rechtmÃ¤ssigen VergÃ¼tung der TÃ¤tigkeiten der betreuenden Person, deren Aufwendungen im Gegensatz zu denjenigen eines Arztes im Ãbrigen gerade nicht anhand eines Tarifes entschÃ¤digt werden. Vielmehr ist die Frage zu beantworten, ab welchem Ausmass des Bedarfs an lebenspraktischer Begleitung ein Anspruch auf eine HilflosenentschÃ¤digung leichten Grades ausgelÃ¶st werden soll und welche TÃ¤tigkeiten der betreuenden Person in diesem Zusammenhang anzurechnen sind.</w:t>
      </w:r>
    </w:p>
    <w:p>
      <w:r>
        <w:t>4.Â Â Â Â Â Â  Im Weiteren ist zwischen den Parteien strittig, ob die BeschwerdefÃ¼hrerin einen Betreuungsbedarf von unter oder gerade zwei Stunden pro Woche aufweist.</w:t>
      </w:r>
    </w:p>
    <w:p>
      <w:r>
        <w:t>Â Â Â Â Â Â Â Â  Aus dem Bericht von Y.___ vom 24. November 2004 (Urk. 8/54) beziehungsweise aus dem Schreiben vom 25. Januar 2005 (Urk. 8/5) geht hervor, dass die BeschwerdefÃ¼hrerin jeweils einmal pro Woche fÃ¼r 30 Minuten Hilfe bei der Tagesstrukturierung in Anspruch nimmt und einmal pro Woche fÃ¼r 60 Minuten. bei der BewÃ¤ltigung von Alltagssituationen unterstÃ¼tzt wird. Diese Angaben decken sich mit den AusfÃ¼hrungen der BeschwerdefÃ¼hrerin anlÃ¤sslich der AbklÃ¤rung vor Ort (Urk. 8/49), wonach in einem wÃ¶chentlichen GesprÃ¤ch mit Herrn A.___ die Tagesstrukturen und die Finanzen erÃ¶rtert wÃ¼rden. In Anbetracht des Umstandes, dass Herr A.___ auch fÃ¼r die Bezahlung der Rechnungen, der Wohnungsmiete sowie der KrankenkassenprÃ¤mien der BeschwerdefÃ¼hrerin verantwortlich ist und fÃ¼r sie auch ein Budget verwaltet (Urk. 8/49 und Urk. 8/54), ist nebst dem einstÃ¼ndigen GesprÃ¤ch von einem weiteren zeitlichen Aufwand auszugehen. Die fÃ¼r die Begleitung und ErmÃ¶glichung des selbstÃ¤ndigen Wohnens insgesamt geltend gemachten 90 Minuten pro Woche erscheinen daher als angemessen.</w:t>
      </w:r>
    </w:p>
    <w:p>
      <w:r>
        <w:t>Â Â Â Â Â Â Â Â  Laut ihren eigenen Angaben steht die BeschwerdefÃ¼hrerin seit circa zweieinhalb Jahren einmal pro Woche in psychotherapeutischer Behandlung. Zu diesen Sitzungen gehe sie ohne Begleitung (Urk. 8/49). Der von Y.___ im Bericht vom 24. November 2004 (Urk. 8/54) beziehungsweise im Schreiben vom 25. Januar 2005 (Urk. 8/5) geltend gemachte Aufwand fÃ¼r Arzt- und Amtsbesuche von 60 Minuten pro Monat beziehungsweise 15 Minuten pro Woche ist daher nicht plausibel, weshalb er nicht angerechnet werden kann.</w:t>
      </w:r>
    </w:p>
    <w:p>
      <w:r>
        <w:t>Â Â Â Â Â Â Â Â  Ebenso wenig ist einsichtig, weshalb die BeschwerdefÃ¼hrerin der Begleitung zur Vermeidung dauernder Isolation bedarf (Urk. 8/54). So fÃ¼hrte die BeschwerdefÃ¼hrerin anlÃ¤sslich der AbklÃ¤rung vor Ort aus, dass sie zum einen mit ihrem Freund zusammen wohne. Zudem hÃ¤tten sie einen Hund, mit welchem sie tÃ¤glich aus der Wohnung gehen mÃ¼sse. Im Weiteren helfe ihr die Psychotherapie, dass sie sich nicht von der Aussenwelt isoliere. Zusammen mit ihrem Freund besuche sie jetzt jedes Heimspiel des FCZ und habe nun auch Kontakte knÃ¼pfen kÃ¶nnen zu Leuten, die nicht von der "Gasse" kÃ¤men. Sie seien jetzt so eine Clique von rund 20 Leuten, die sich auch mal sonst treffen wÃ¼rden, um beispielsweise Fussballspiele im Fernsehen gemeinsam anzusehen oder gemeinsam ein Restaurant zu besuchen (Urk. 8/49). Eine Isolation der BeschwerdefÃ¼hrerin wird demnach durch die einmal pro Woche besuchte Psychotherapie, das Zusammenleben mit ihrem Freund und den tÃ¤glichen SpaziergÃ¤ngen mit ihrem Hund verhindert. Zudem muss die BeschwerdefÃ¼hrerin auch nicht zur Kontaktaufnahme mit anderen Menschen motiviert werden, hat sie inzwischen doch Anschluss an eine Clique von etwa 20 Leuten gefunden. Aufgrund des Gesagten kann demnach auch der diesbezÃ¼glich geltend gemachte Aufwand nicht an die Betreuungszeit angerechnet werden.</w:t>
      </w:r>
    </w:p>
    <w:p>
      <w:r>
        <w:t>5.Â Â Â Â Â Â  Nach dem Gesagten ist von einem wÃ¶chentlichen Bedarf an lebenspraktischer Begleitung von eineinhalb Stunden auszugehen. Es ist daher nicht zu beanstanden, wenn die Beschwerdegegnerin den Anspruch auf eine HilflosenentschÃ¤digung leichten Grades verneint hat. Die Beschwerde ist demnach abzuweisen.</w:t>
      </w:r>
    </w:p>
    <w:p>
      <w:r>
        <w:t>Das Gericht erkennt:</w:t>
      </w:r>
    </w:p>
    <w:p>
      <w:r>
        <w:t>1.Â Â Â Â Â Â Â Â  Die Beschwerde wird abgewiesen.</w:t>
      </w:r>
    </w:p>
    <w:p>
      <w:r>
        <w:t>2.Â Â Â Â Â Â Â Â  Das 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