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IV.2005.00208 vom 19. März 2006</w:t>
      </w:r>
    </w:p>
    <w:p>
      <w:r>
        <w:t>ZH Sozialversicherungsgericht, 2006-03-19, DE</w:t>
      </w:r>
    </w:p>
    <w:p>
      <w:r>
        <w:rPr>
          <w:b/>
        </w:rPr>
        <w:t xml:space="preserve">Quelle: </w:t>
      </w:r>
      <w:r>
        <w:t>https://mcp.opencaselaw.ch/entscheid/zh_sozialversicherungsgericht_IV.2005.00208</w:t>
      </w:r>
    </w:p>
    <w:p>
      <w:r>
        <w:t>FR: ZH_SOZIALVERSICHERUNGSGERICHT IV.2005.00208 du 19 mars 2006</w:t>
      </w:r>
    </w:p>
    <w:p>
      <w:r>
        <w:t>IT: ZH_SOZIALVERSICHERUNGSGERICHT IV.2005.00208 del 19 marzo 2006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Dr. med. B.___, Facharzt FMH fÃ¼r Rheumatologie und Innere Medizin, diagnostizierte mit Bericht vom 21. Dezember 2002 (Urk. 7/14/2) eine seronegative Polyarthritis sowie ein chronisches Lumbovertebralsyndrom bei degenerativen LendenwirbelsÃ¤ulenverÃ¤nderungen. Klinisch bestÃ¼nden weiterhin eine schmerzhafte EinschrÃ¤nkung des rechten Schultergelenks und rechtsbetonte Synovitiden der Handgelenke, der MCP-Gelenke II und III und Druckdolenzen der einzelnen Fingermittelgelenke (Urk. 7/14/2 S. 1).</w:t>
      </w:r>
    </w:p>
    <w:p>
      <w:r>
        <w:rPr>
          <w:b/>
        </w:rPr>
        <w:t>E. 3.2</w:t>
      </w:r>
    </w:p>
    <w:p>
      <w:r>
        <w:t>Mit Bericht vom 25. April 2003 (Urk. 7/14/3) diagnostizierte Dr. B.___ eine seronegative Polyarthritis und fÃ¼hrte aus, es seien klinisch unverÃ¤ndert zu frÃ¼her relativ derbe Synovitiden an beiden Handgelenken und den MCP-Gelenken zu finden. Diagnostisch ergÃ¤ben sich keine neuen Hinweise; es sei am ehesten eine Spondarthropathie anzunehmen (Urk. 7/14/3)</w:t>
      </w:r>
    </w:p>
    <w:p>
      <w:r>
        <w:rPr>
          <w:b/>
        </w:rPr>
        <w:t>E. 3.3</w:t>
      </w:r>
    </w:p>
    <w:p>
      <w:r>
        <w:t>Dr. med. C.___, Innere Medizin FMH, stellte mit Bericht vom 7. Juli 2003 (Urk. 7/14/4) folgende Diagnosen mit Auswirkung auf die ArbeitsfÃ¤higkeit (Urk. 7/14/4 lit. A):</w:t>
      </w:r>
    </w:p>
    <w:p>
      <w:r>
        <w:t>Seronegative chronische Polyarthritis</w:t>
      </w:r>
    </w:p>
    <w:p>
      <w:r>
        <w:t>Chronische Lumbalgie bei mediolateraler Diskushernie L4/L5</w:t>
      </w:r>
    </w:p>
    <w:p>
      <w:r>
        <w:t>- spondylarthrotische Beschwerden L4/5 bei Verdacht auf Fazettenganglion L4/5 beidseits</w:t>
      </w:r>
    </w:p>
    <w:p>
      <w:r>
        <w:t>In der zuletzt ausgeÃ¼bten TÃ¤tigkeit als Raumpflegerin sei die BeschwerdefÃ¼hrerin seit 30. September 2002 vollstÃ¤ndig arbeitsunfÃ¤hig (Urk. 7/14/4 lit. B). Ihr Gesundheitszustand sei stationÃ¤r, und ihre ArbeitsfÃ¤higkeit kÃ¶nne durch medizinische Massnahmen verbessert werden. Eine ergÃ¤nzende medizinische AbklÃ¤rung sei nicht angezeigt (Urk. 7/14/4 lit. C Ziff. 1-2, Ziff. 6).</w:t>
      </w:r>
    </w:p>
    <w:p>
      <w:r>
        <w:t>Im Formular ÂArbeitsbelastbarkeit: Medizinische BeurteilungÂ (Urk. 7/14/5) hielt Dr. C.___ das leichte und feinmotorische sowie das mittlere Hantieren mit Werkzeugen fÃ¼r selten (bis etwa 1/2 Stunde pro Tag) zumutbar. Rotation, vorgeneigtes Sitzen und Stehen, Knien und Kniebeugen seien oft (3 bis rund 5 1/4 Stunden pro Tag) zumutbar, ebenso lÃ¤nger dauerndes Sitzen und Stehen. Gehen sei inklusive dem Gehen auf langen Strecken und unebenem GelÃ¤nde wie auch dem Treppen steigen und Leitern besteigen sehr oft (etwa 5 1/2 bis 8 Stunden pro Tag) zumutbar (Urk. 7/14/5 S. 1).</w:t>
      </w:r>
    </w:p>
    <w:p>
      <w:r>
        <w:t>Falls ein Behandlungserfolg erzielt werden kÃ¶nne, was bislang nicht der Fall gewesen sei, kÃ¶nnten sich das Beschwerdebild und die ArbeitsfÃ¤higkeit deutlich verbessern. Es sei weder die bisherige noch eine behinderungsangepasste TÃ¤tigkeit mehr zumutbar (Urk. 7/14/5 S. 2).</w:t>
      </w:r>
    </w:p>
    <w:p>
      <w:r>
        <w:rPr>
          <w:b/>
        </w:rPr>
        <w:t>E. 3.4</w:t>
      </w:r>
    </w:p>
    <w:p>
      <w:r>
        <w:t>Dr. med. D.___, Oberarzt am UniversitÃ¤tsspital F.___, Rheumaklinik und Institut fÃ¼r Physikalische Medizin, stellte mit Bericht vom 22. Juli 2003 (Urk. 7/12) folgende Diagnose (Urk. 7/12 S. 1):</w:t>
      </w:r>
    </w:p>
    <w:p>
      <w:r>
        <w:t>- Chronische Polyarthritis, am ehesten im Rahmen einer seronegativen Spondarthropathie (Differentialdiagnose: Rheumatoide Arthritis)</w:t>
      </w:r>
    </w:p>
    <w:p>
      <w:r>
        <w:t>- Beginn 2001</w:t>
      </w:r>
    </w:p>
    <w:p>
      <w:r>
        <w:t>- anodulÃ¤r, Rheumafaktor, Anti-CCP und ANA negativ</w:t>
      </w:r>
    </w:p>
    <w:p>
      <w:r>
        <w:t>- bislang anerosiver Verlauf, aber leichte SekundÃ¤rarthrosen mehrerer Fingergrundgelenke beidseits (Osteophytenbildung im Vordergrund)</w:t>
      </w:r>
    </w:p>
    <w:p>
      <w:r>
        <w:t>- keine humorale EntzÃ¼ndungsaktivitÃ¤t</w:t>
      </w:r>
    </w:p>
    <w:p>
      <w:r>
        <w:t>- keine extrasynovialen Manifestationen</w:t>
      </w:r>
    </w:p>
    <w:p>
      <w:r>
        <w:t>- Status nach Basistherapie (keine Wirkung, Hypotonie?, GedÃ¤chtnisstÃ¶rung, vermehrter Haarausfall und Hepatopathie)</w:t>
      </w:r>
    </w:p>
    <w:p>
      <w:r>
        <w:t>- Aktuell: Persistierend leichtgradige polyartikulÃ¤re EntzÃ¼ndungsaktivitÃ¤t mit starker Schmerzsymptomatik</w:t>
      </w:r>
    </w:p>
    <w:p>
      <w:r>
        <w:t>- Chronisches Lumbovertebralsyndrom bei</w:t>
      </w:r>
    </w:p>
    <w:p>
      <w:r>
        <w:t>- degenerativen LWS-VerÃ¤nderungen laut Angabe</w:t>
      </w:r>
    </w:p>
    <w:p>
      <w:r>
        <w:t>- Nikotinabusus</w:t>
      </w:r>
    </w:p>
    <w:p>
      <w:r>
        <w:t>Klinisch bestÃ¼nden Druckdolenzen aller Fingermittelgelenke, und es hÃ¤tten sich kleinvolumige, eher derbe Synovitiden der Fingergrundgelenke I-III und V beidseits sowie beider Handgelenke ertasten lassen. An der rechten Schulter hÃ¤tten Zeichen eines Supraspinatus-Impingements bestanden, sowohl das glenohumorale wie auch das Acromioclaviculargelenk seien druckdolent gewesen. An den unteren ExtremitÃ¤ten seien einzig eine Druckdolenz beider oberer Sprunggelenke und ein positives Gaenslen-Zeichen des linken Fusses zu fassen gewesen. Es bestÃ¼nden Druckdolenzen periartikulÃ¤rer Weichteile, die Kriterien fÃ¼r ein Fibromyalgie-Syndrom seien aber nicht erfÃ¼llt (Urk. 7/12 S. 1 f.). Eine kÃ¶rperlich leichte, wechselbelastende TÃ¤tigkeit sei im Umfang von 50 % mÃ¶glich (Urk. 7/12 S. 2).</w:t>
      </w:r>
    </w:p>
    <w:p>
      <w:r>
        <w:t>Zuhanden der Invalidenversicherung nahm Dr. D.___ ebenfalls am 22. Juli 2003 Stellung (Urk. 7/13/1). Als Diagnosen mit Auswirkungen auf die ArbeitsfÃ¤higkeit wiederholte Dr. D.___ die obgenannten (Urk. 7/13/1 lit. A). Die ArbeitsfÃ¤higkeit im Reinigungsdienst betrage 0 %. Falls mit der medikamentÃ¶sen Therapie eine deutliche Besserung erzielt werden kÃ¶nne, kÃ¶nnte im Reinigungsdienst wieder eine ArbeitsfÃ¤higkeit von maximal 50 % erreicht werden. Zum jetzigen Zeitpunkt sei eine kÃ¶rperlich leichte, wechselbelastende TÃ¤tigkeit ohne besondere mechanische Beanspruchung der HÃ¤nde im Umfang von etwa 50 % mÃ¶glich, dies gelte auch fÃ¼r den Haushaltbereich (Urk. 7/13/1 S. 1 oben links).</w:t>
      </w:r>
    </w:p>
    <w:p>
      <w:r>
        <w:t>In der zuletzt ausgeÃ¼bten TÃ¤tigkeit als Reinigungsangestellte bestehe seit 3. September 2002 eine vollstÃ¤ndige ArbeitsunfÃ¤higkeit (Urk. 7/13/1 lit. B). Der Gesundheitszustand der BeschwerdefÃ¼hrerin sei besserungsfÃ¤hig; ihre ArbeitsfÃ¤higkeit kÃ¶nne durch medizinische Massnahmen verbessert werden. Eine ergÃ¤nzende medizinische AbklÃ¤rung sei nicht angezeigt (Urk. 7/13/1 lit. C Ziff. 1-2, Ziff. 6).</w:t>
      </w:r>
    </w:p>
    <w:p>
      <w:r>
        <w:rPr>
          <w:b/>
        </w:rPr>
        <w:t>E. 3.5</w:t>
      </w:r>
    </w:p>
    <w:p>
      <w:r>
        <w:t>Dr. B.___ diagnostizierte mit Bericht vom 19. Oktober 2003 (Urk. 7/10/5), 26. November 2003 (Urk. 7/10/4) und 2. Mai 2004 (Urk. 7/10/3) jeweils eine chronische seronegative Polyarthritis.</w:t>
      </w:r>
    </w:p>
    <w:p>
      <w:r>
        <w:t>Mit Bericht vom 23. Juni 2004 (Urk. 7/10/2) nannte Dr. B.___ als Diagnose mit Auswirkung auf die ArbeitsfÃ¤higkeit eine chronische seronegative Polyarthritis sowie ein chronisches Lumbovertebralsyndrom, bestehend seit Jahren (Urk. 7/10/2 lit. A in Verbindung mit Urk. 7/10/1 lit. A). Unter der Basisbehandlung bestehe intermittierend im Bereich der rechten Schulter und vor allem an beiden HÃ¤nden weiter eine mÃ¤ssige EntzÃ¼ndungsaktivitÃ¤t. Auf eine aggressivere Basisbehandlung habe die BeschwerdefÃ¼hrerin verzichten wollen. Sichere erosive VerÃ¤nderungen bestÃ¼nden bis heute nicht. Das Problem liege nicht nur in einer FunktionseinschrÃ¤nkung der HÃ¤nde, sondern auch in einem erheblichen Schmerzsyndrom (sekundÃ¤res Fibromyalgiesyndrom). Als Raumpflegerin bestehe eine EinschrÃ¤nkung der ArbeitsfÃ¤higkeit von 70 %. Im Haushalt, wo die Arbeiten frei eingeteilt werden kÃ¶nnten, betrage die EinschrÃ¤nkung 30 % (Urk. 7/10/2).</w:t>
      </w:r>
    </w:p>
    <w:p>
      <w:r>
        <w:t>In der zuletzt ausgeÃ¼bten TÃ¤tigkeit als Raumpflegerin sei die BeschwerdefÃ¼hrerin seit dem 1. Januar 2004 zu 70 % arbeitsunfÃ¤hig (Urk. 7/10/1 lit. B). Ihr Gesundheitszustand sei stationÃ¤r und ihre ArbeitsfÃ¤higkeit kÃ¶nne unter UmstÃ¤nden durch medizinische Massnahmen verbessert werden. Eine ergÃ¤nzende medizinische AbklÃ¤rung sei nicht angezeigt (Urk. 7/10/1 lit. C Ziff. 1-2, Ziff. 6).</w:t>
      </w:r>
    </w:p>
    <w:p>
      <w:r>
        <w:rPr>
          <w:b/>
        </w:rPr>
        <w:t>E. 3.6</w:t>
      </w:r>
    </w:p>
    <w:p>
      <w:r>
        <w:t>Dr. C.___ fÃ¼hrte mit Bericht vom 12. Juni 2004 (Urk. 7/11) aus, der Gesundheitszustand der BeschwerdefÃ¼hrerin sei stationÃ¤r; die Diagnose habe sich nicht verÃ¤ndert, und es lÃ¤gen keine verÃ¤nderten Befunde vor (Urk. 7/11 Ziff. 1-3). Bei mittelschweren Haushaltarbeiten sei die BeschwerdefÃ¼hrerin seit zwei Jahren auf Hilfe angewiesen. Eine ergÃ¤nzende medizinische AbklÃ¤rung sei nicht angezeigt (Urk. 7/11 Ziff. 6-7).</w:t>
      </w:r>
    </w:p>
    <w:p>
      <w:r>
        <w:rPr>
          <w:b/>
        </w:rPr>
        <w:t>E. 4.1</w:t>
      </w:r>
    </w:p>
    <w:p>
      <w:r>
        <w:t>Dr. C.___ hielt die BeschwerdefÃ¼hrerin mit Bericht vom 7. Juli 2003 (Urk. 7/14/4) in ihrer angestammten TÃ¤tigkeit als Raumpflegerin fÃ¼r vollstÃ¤ndig arbeitsunfÃ¤hig (Urk. 7/14/4 lit. B). Eine behinderungsangepasste TÃ¤tigkeit sei nicht mehr zumutbar (Urk. 7/14/5 S. 2). Letzteres ist nicht nachvollziehbar, attestierte Dr. C.___ der BeschwerdefÃ¼hrerin doch verschiedene physische Funktionen in einem Umfang, der gegen eine vollstÃ¤ndige ArbeitsunfÃ¤higkeit in einer angepassten TÃ¤tigkeit spricht: Bei der FÃ¤higkeit, tÃ¤glich mehrere Stunden zu sitzen, zu stehen und zu gehen (vgl. Urk. 7/14/5), was zum Beispiel Kontroll- und ÃberwachungstÃ¤tigkeiten erlauben wÃ¼rde, kann nicht von einer vollstÃ¤ndigen ArbeitsunfÃ¤higkeit gesprochen werden. Auf die EinschÃ¤tzung durch Dr. C.___ ist deshalb mangels ErfÃ¼llung der praxisgemÃ¤ssen Anforderungen an einen Arztbericht (vgl. vorstehend Erw. 1.4) nicht abzustellen. Dies gilt auch bezÃ¼glich seines Berichts vom 12. Juni 2004 (Urk. 7/11), da sich darin keine Angaben zur ArbeitsfÃ¤higkeit der BeschwerdefÃ¼hrerin finden.</w:t>
      </w:r>
    </w:p>
    <w:p>
      <w:r>
        <w:rPr>
          <w:b/>
        </w:rPr>
        <w:t>E. 4.2</w:t>
      </w:r>
    </w:p>
    <w:p>
      <w:r>
        <w:t>GemÃ¤ss Dr. B.___ leidet die BeschwerdefÃ¼hrerin nicht nur an einer FunktionseinschrÃ¤nkung der HÃ¤nde, sondern auch an einem sekundÃ¤ren Fibromyalgiesyndrom (Bericht vom 23. Juni 2004; Urk. 7/10/2). Die Diagnose eines primÃ¤ren wie sekundÃ¤ren Fibromyalgiesyndroms erfordert jedoch eine Druckschmerzhaftigkeit von mindestens 11 der 18 typischen Druckpunkte (Pschyrembel Klinisches WÃ¶rterbuch, 259. Auflage, S. 521). Dr. B.___ fÃ¼hrte diese Untersuchung soweit ersichtlich nicht durch, weshalb die Diagnose eines sekundÃ¤ren Fibromyalgiesyndroms nicht als gesichert gelten kann (vgl. auch Urk. 7/12 S. 2 oben). Entsprechend erscheint auch die unter anderem auch darauf abgestÃ¼tzte EinschÃ¤tzung der ArbeitsunfÃ¤higkeit der BeschwerdefÃ¼hrerin von 70 % in der angestammten TÃ¤tigkeit als nicht genÃ¼gend schlÃ¼ssig begrÃ¼ndet. Zur ArbeitsfÃ¤higkeit der BeschwerdefÃ¼hrerin in einer behinderungsangepassten TÃ¤tigkeit Ã¤usserte sich Dr. B.___ zudem nicht. Insgesamt vermÃ¶gen seine Berichte nicht genÃ¼genden Aufschluss zur hier interessierenden Frage zu geben, inwiefern die BeschwerdefÃ¼hrerin in ihrer angestammten TÃ¤tigkeit eingeschrÃ¤nkt ist und wie hoch ihre ArbeitsfÃ¤higkeit in einer der Behinderung angepassten TÃ¤tigkeit ist.</w:t>
      </w:r>
    </w:p>
    <w:p>
      <w:r>
        <w:rPr>
          <w:b/>
        </w:rPr>
        <w:t>E. 4.3</w:t>
      </w:r>
    </w:p>
    <w:p>
      <w:r>
        <w:t>Die Berichte von Dr. D.___ vom 22. Juli 2003 (Urk. 7/13/1; Urk. 12) vermÃ¶gen den praxisgemÃ¤ssen Anforderungen (vgl. vorstehend Erw. 1.4) zu entsprechen: Dr. D.___ schÃ¤tzte in nachvollziehbarer und schlÃ¼ssiger Weise die ArbeitsfÃ¤higkeit der BeschwerdefÃ¼hrerin in der angestammten TÃ¤tigkeit als Raumpflegerin auf 0 %. Eine kÃ¶rperlich leichte, wechselbelastende TÃ¤tigkeit ohne besondere mechanische Beanspruchung der HÃ¤nde sei zu 50 % mÃ¶glich (Urk. 7/13/1 S. 1 oben links). Davon ist auszugehen; entgegen der Vorbringen der BeschwerdefÃ¼hrerin (Urk. 1 S. 3) sind diese Angaben ausreichend begrÃ¼ndet: In Anbetracht des Umstands, dass die BeschwerdefÃ¼hrerin vor allem im Gebrauch ihrer HÃ¤nde eingeschrÃ¤nkt ist (vgl. Urk. 7/12 S. 1), erscheint eine 50%ige ArbeitsfÃ¤higkeit in einer TÃ¤tigkeit, bei der die HÃ¤nde nicht in besonderer Weise mechanisch beansprucht werden, nicht als unangemessen. Dies insbesondere, nachdem gemÃ¤ss Ã¤rztlicher EinschÃ¤tzung eine Verbesserung der ArbeitsfÃ¤higkeit der BeschwerdefÃ¼hrerin mittels medizinischer Massnahmen grundsÃ¤tzlich nicht ausgeschlossen ist (Urk. 7/14/4 lit. C Ziff. 2; Urk. 7/13/1 lit. C Ziff. 2; Urk. 7/10/1 lit. C Ziff. 2).</w:t>
      </w:r>
    </w:p>
    <w:p>
      <w:r>
        <w:rPr>
          <w:b/>
        </w:rPr>
        <w:t>E. 4.4</w:t>
      </w:r>
    </w:p>
    <w:p>
      <w:r>
        <w:t>FÃ¼r eine psychische Erkrankung, wie sie die BeschwerdefÃ¼hrerin geltend macht (Urk. 1 S. 4), bestehen in den medizinischen Akten keinerlei Anhaltspunkte. Weder hat die BeschwerdefÃ¼hrerin eine solche Erkrankung erwÃ¤hnt noch wurde sie Ã¤rztlich festgestellt. Es ist davon auszugehen, dass die gesundheitliche BeeintrÃ¤chtigung der BeschwerdefÃ¼hrerin einzig auf ihre somatische Erkrankung zurÃ¼ckzufÃ¼hren ist. Die behandelnden Ãrzte gingen denn auch Ã¼bereinstimmend davon aus, dass keine ergÃ¤nzenden medizinischen AbklÃ¤rungen - wie sie bei einer psychischen Komponente der Erkrankung vorzunehmen wÃ¤ren - notwendig seien (Urk. 7/14/4 lit. C Ziff. 6; Urk. 7/13/1 lit. C Ziff. 6; Urk. 7/10/1 lit. C Ziff. 6; Urk. 7/11 Ziff. 7). FÃ¼r eine psychiatrische Untersuchung besteht deshalb kein Anlass.</w:t>
      </w:r>
    </w:p>
    <w:p>
      <w:r>
        <w:rPr>
          <w:b/>
        </w:rPr>
        <w:t>E. 5.1</w:t>
      </w:r>
    </w:p>
    <w:p>
      <w:r>
        <w:t>Die BeschwerdefÃ¼hrerin gab anlÃ¤sslich der HaushaltabklÃ¤rung an, im Gesundheitsfall zu 50 % berufstÃ¤tig zu sein (Urk. 7/23 S. 2; vgl. auch Urk. 7/28). Entsprechend ging die Beschwerdegegnerin hinsichtlich des Status der BeschwerdefÃ¼hrerin von einer TeilerwerbstÃ¤tigkeit aus und nahm eine je 50%ige Erwerbs- und HaushalttÃ¤tigkeit an (Urk. 7/7 S. 1). Dies ist nicht zu beanstanden und im Ãbrigen unbestritten.</w:t>
      </w:r>
    </w:p>
    <w:p>
      <w:r>
        <w:rPr>
          <w:b/>
        </w:rPr>
        <w:t>E. 5.2</w:t>
      </w:r>
    </w:p>
    <w:p>
      <w:r>
        <w:t>Bei Versicherten, die nur zum Teil erwerbstÃ¤tig sind, wird fÃ¼r diesen Teil die InvaliditÃ¤t nach Art. 16 ATSG festgelegt. Waren sie daneben auch im Aufgabenbereich tÃ¤tig, so wird die InvaliditÃ¤t fÃ¼r diese TÃ¤tigkeit nach Art. 28 Absatz 2 bis IVG festgelegt. In diesem Falle sind der Anteil der ErwerbstÃ¤tigkeit und der Anteil der TÃ¤tigkeit im Aufgabenbereich festzulegen und der InvaliditÃ¤tsgrad entsprechend der Behinderung in beiden Bereichen zu bemessen (Art. 28 Abs. 2 ter IVG; gemischte Methode der InvaliditÃ¤tsbemessung).</w:t>
      </w:r>
    </w:p>
    <w:p>
      <w:r>
        <w:t>Nach der Gerichts- und Verwaltungspraxis wird zunÃ¤chst der Anteil der ErwerbstÃ¤tigkeit und derjenige der TÃ¤tigkeit im Aufgabenbereich (so unter anderem im Haushalt) bestimmt, wobei sich die Frage, in welchem Ausmass die versicherte Person ohne gesundheitliche BeeintrÃ¤chtigung erwerbstÃ¤tig wÃ¤re, mit RÃ¼cksicht auf die gesamten UmstÃ¤nde, so die persÃ¶nlichen, familiÃ¤ren, sozialen und erwerblichen VerhÃ¤ltnisse, beurteilt (BGE 125 V 150 Erw. 2c mit Hinweisen; SVR 2001 IV Nr. 25 S. 75 ff.). Die InvaliditÃ¤t bestimmt sich in der Folge dadurch, dass im Erwerbsbereich ein Einkommens- und im Aufgabenbereich ein BetÃ¤tigungsvergleich vorgenommen wird, wobei sich die GesamtinvaliditÃ¤t aus der Addierung der in beiden Bereichen ermittelten und gewichteten TeilinvaliditÃ¤ten ergibt. Von dieser Gerichts- und Verwaltungspraxis abzuweichen besteht auch mit In-Kraft-Treten des ATSG keine Veranlassung (BGE 130 V 393 ff. Erw. 3.3).</w:t>
      </w:r>
    </w:p>
    <w:p>
      <w:r>
        <w:rPr>
          <w:b/>
        </w:rPr>
        <w:t>E. 5.3</w:t>
      </w:r>
    </w:p>
    <w:p>
      <w:r>
        <w:t>FÃ¼r die Ermittlung des Valideneinkommens stellt sich die Frage, was die BeschwerdefÃ¼hrerin aufgrund ihrer beruflichen FÃ¤higkeiten zu erwarten gehabt hÃ¤tte, wenn sie nicht invalid geworden wÃ¤re. Dabei entspricht es empirischer Erfahrung, dass die bisherige TÃ¤tigkeit im Gesundheitsfall weitergefÃ¼hrt worden wÃ¤re, weshalb hÃ¤ufig der zuletzt erzielte, der Teuerung sowie der realen Einkommensentwicklung angepasste Verdienst AnknÃ¼pfungspunkt fÃ¼r die Bestimmung des Valideneinkommens ist (RKUV 1993 Nr. U 168 S. 100 f. Erw. 3b).</w:t>
      </w:r>
    </w:p>
    <w:p>
      <w:r>
        <w:t>Ausgehend vom im Jahr 2002 im A.___ fÃ¼r ein Pensum von 50 % erzielten Lohn von Fr. 27Â024.-- (Urk. 7/30/1 Ziff. 10, Ziff. 20) ergibt sich unter BerÃ¼cksichtigung der nominellen Lohnentwicklung im Bereich Dienstleistungen fÃ¼r das Jahr 2003 in HÃ¶he von 1,7 % (Die Volkswirtschaft 2/2006, S. 95, Tabelle B 10.2, lit. M, N, O) ein Valideneinkommen von Fr. 27'438.-- (Fr. 27Â024.-- x 1,017).</w:t>
      </w:r>
    </w:p>
    <w:p>
      <w:r>
        <w:rPr>
          <w:b/>
        </w:rPr>
        <w:t>E. 5.4</w:t>
      </w:r>
    </w:p>
    <w:p>
      <w:r>
        <w:t>FÃ¼r die Bestimmung des Invalideneinkommens ist primÃ¤r von der beruflich-erwerblichen Situation auszugehen, in welcher die versicherte Person konkret steht. Ist kein solches tatsÃ¤chlich erzieltes Erwerbseinkommen gegeben, namentlich weil die versicherte Person nach Eintritt des Gesundheitsschadens keine oder jedenfalls keine ihr an sich zumutbare neue ErwerbstÃ¤tigkeit aufgenommen hat, so kÃ¶nnen nach der Rechtsprechung TabellenlÃ¶hne gemÃ¤ss den vom Bundesamt fÃ¼r Statistik periodisch herausgegebenen Lohnstrukturerhebungen (LSE) herangezogen werden (BGE 126 V 76 f. Erw. 3b/aa und bb, vgl. auch BGE 129 V 475 Erw. 4.2.1). FÃ¼r die InvaliditÃ¤tsbemessung wird praxisgemÃ¤ss auf die standardisierten BruttolÃ¶hne (Tabellengruppe A) abgestellt (BGE 129 V 476 Erw. 4.2.1 mit Hinweis), wobei jeweils vom so genannten Zentralwert (Median) auszugehen ist. Bei der Anwendung der Tabellengruppe A gilt es ausserdem zu berÃ¼cksichtigen, dass ihr generell eine Arbeitszeit von 40 Wochenstunden zugrunde liegt, welcher Wert etwas tiefer ist als die bis 1998 betriebsÃ¼bliche durchschnittliche Arbeitszeit von wÃ¶chentlich 41,9 Stunden, seit 1999 von 41,8 Stunden, seit 2001 von 41,7 und seit 2004 von 41,6 Stunden (Die Volkswirtschaft 10/2005 S. 82 Tabelle B9.2; BGE 129 V 484 Erw. 4.3.2, 126 V 77 f. Erw. 3b/bb, 124 V 322 Erw. 3b/aa; AHI 2000 S. 81 Erw. 2a).</w:t>
      </w:r>
    </w:p>
    <w:p>
      <w:r>
        <w:rPr>
          <w:b/>
        </w:rPr>
        <w:t>E. 5.5</w:t>
      </w:r>
    </w:p>
    <w:p>
      <w:r>
        <w:t>Nach der Rechtsprechung ist beim Einkommensvergleich unter Verwendung statistischer TabellenlÃ¶hne zu berÃ¼cksichtigen, dass gesundheitlich beeintrÃ¤chtigte Personen, die selbst bei leichten HilfsarbeitertÃ¤tigkeiten behindert sind, im Vergleich zu voll leistungsfÃ¤higen und entsprechend einsetzbaren Arbeitnehmern und Arbeitnehmerinnen lohnmÃ¤ssig benachteiligt sind und deshalb in der Regel mit unterdurchschnittlichen LohnansÃ¤tzen rechnen mÃ¼ssen. Sodann ist dem Umstand Rechung zu tragen, dass weitere persÃ¶nliche und berufliche Merkmale einer versicherten Person, wie Alter, Dauer der BetriebszugehÃ¶rigkeit, NationalitÃ¤t oder Aufenthaltskategorie sowie BeschÃ¤ftigungsgrad Auswirkungen auf die LohnhÃ¶he haben kÃ¶nnen. In BGE 126 V 75 ff. hat das EidgenÃ¶ssische Versicherungsgericht die bisherige Praxis dahin gehend prÃ¤zisiert, dass die Frage, ob und in welchem Ausmass TabellenlÃ¶hne herabzusetzen sind, von sÃ¤mtlichen persÃ¶nlichen und beruflichen UmstÃ¤nden des konkreten Einzelfalls (leidensbedingte EinschrÃ¤nkung, Alter, Dienstjahre, NationalitÃ¤t/Aufenthaltskategorie und BeschÃ¤ftigungsgrad) abhÃ¤ngig ist. Der Einfluss sÃ¤mtlicher Merkmale auf das Invalideneinkommen ist nach pflichtgemÃ¤ssem Ermessen gesamthaft zu schÃ¤tzen, wobei der Abzug auf hÃ¶chstens 25 % zu begrenzen ist (BGE 129 V 481 Erw. 4.2.3 mit Hinweisen).</w:t>
      </w:r>
    </w:p>
    <w:p>
      <w:r>
        <w:rPr>
          <w:b/>
        </w:rPr>
        <w:t>E. 5.6</w:t>
      </w:r>
    </w:p>
    <w:p>
      <w:r>
        <w:t>Angesichts der behinderungsangepassten ArbeitsfÃ¤higkeit von 50 % (vgl. vorstehend Erw. 4.3) steht der BeschwerdefÃ¼hrerin eine breite Palette von TÃ¤tigkeiten offen. Es rechtfertigt sich daher, fÃ¼r die Bemessung des Invalideneinkommens auf den standardisierten Durchschnittslohn fÃ¼r einfache und repetitive TÃ¤tigkeiten in sÃ¤mtlichen TÃ¤tigkeiten in sÃ¤mtlichen Wirtschaftszweigen des privaten Sektors abzustellen (LSE 2002 S. 43, Tabelle TA1, Rubrik ÂTotalÂ, Niveau 4).</w:t>
      </w:r>
    </w:p>
    <w:p>
      <w:r>
        <w:t>Das im Jahr 2002 von Frauen im Durchschnitt aller einfachen und repetitiven TÃ¤tigkeiten erzielte Einkommen betrug Fr. 3Â820.-- pro Monat (LSE 2002 S. 43, Tabelle TA1, Rubrik ÂTotalÂ, Niveau 4), mithin Fr. 45Â840.-- pro Jahr (3Â820.-- x 12). Der durchschnittlichen wÃ¶chentlichen Arbeitszeit von 41,6 Stunden angepasst und unter BerÃ¼cksichtigung der allgemeinen nominellen Lohnentwicklung fÃ¼r das Jahr 2003 in HÃ¶he von 1,4 % (Die Volkswirtschaft 2/2006, S. 95, Tabelle B 10.2, Rubrik ÂNominal totalÂ) ergibt sich ein Wert von Fr. 48'341.-- (Fr. 45Â840.-- : 40 x 41,6 x 1,014). FÃ¼r ein Pensum von 50 % betrÃ¤gt das hypothetische Invalideneinkommen demnach Fr. 24'170.-- (Fr. 48'341.-- x 0,5).</w:t>
      </w:r>
    </w:p>
    <w:p>
      <w:r>
        <w:t>Einen Abzug vom Tabellenlohn gewÃ¤hrte die Beschwerdegegnerin nicht (vgl. Urk. 6). Dies erscheint zwar aufgrund des Umstandes, dass Frauen im Gegensatz zu MÃ¤nnern in einer TeilzeittÃ¤tigkeit erfahrungsgemÃ¤ss mehr verdienen (vgl. LSE 2002 S. 28 Tabelle 8), als richtig. Andererseits kann die BeschwerdefÃ¼hrerin lediglich kÃ¶rperlich leichte, wechselbelastende TÃ¤tigkeit ohne besondere mechanische Beanspruchung der HÃ¤nde verrichten (vgl. vorstehend Erw. 4.3), weshalb dennoch ein Abzug zu gewÃ¤hren ist. Liegt dieser in HÃ¶he der beantragten 15 % (Urk. 1 S. 4), so ergibt sich ein hypothetisches Invalideneinkommen von Fr. 20'545.-- (24'170.-- x 0,85).</w:t>
      </w:r>
    </w:p>
    <w:p>
      <w:r>
        <w:rPr>
          <w:b/>
        </w:rPr>
        <w:t>E. 5.7</w:t>
      </w:r>
    </w:p>
    <w:p>
      <w:r>
        <w:t>Ausgehend von einem Valideneinkommen von Fr. 27'438.-- (vgl. vorstehend Erw. 5.3) und einem Invalideneinkommen von Fr. 20'545.-- ergibt sich eine Einkommenseinbusse von Fr. 6'893.--, was einer EinschrÃ¤nkung im Erwerbsbereich von 25 % entspricht.</w:t>
      </w:r>
    </w:p>
    <w:p>
      <w:r>
        <w:rPr>
          <w:b/>
        </w:rPr>
        <w:t>E. 5.8</w:t>
      </w:r>
    </w:p>
    <w:p>
      <w:r>
        <w:t>Die HaushaltabklÃ¤rung ergab eine behinderungsbedingte EinschrÃ¤nkung der BeschwerdefÃ¼hrerin im Haushaltbereich von 37,5 % (Urk. 7/23 S. 5). Die Feststellung der EinschrÃ¤nkung erging unter Einbezug der BeschwerdefÃ¼hrerin aufgrund einer genauen Untersuchung der VerhÃ¤ltnisse vor Ort (BGE 130 V 61, AHI 2001 S. 158). Die EinschÃ¤tzung ist nachvollziehbar und einlÃ¤sslich begrÃ¼ndet und somit nicht zu beanstanden; sie ist im Ãbrigen unbestritten.</w:t>
      </w:r>
    </w:p>
    <w:p>
      <w:r>
        <w:rPr>
          <w:b/>
        </w:rPr>
        <w:t>E. 5.9</w:t>
      </w:r>
    </w:p>
    <w:p>
      <w:r>
        <w:t>Bei Anwendung der gemischten Methode (vgl. vorstehend Erw. 5.2) setzt sich der InvaliditÃ¤tsgrad zusammen aus der EinschrÃ¤nkung des Anteils als Hausfrau (37,5 % x 0,5) und der EinschrÃ¤nkung des Anteils als ErwerbstÃ¤tige (25 % x 0,5), was insgesamt einen rentenausschliessenden InvaliditÃ¤tsgrad von gerundet 31 % ergibt (18,75 % + 12,5 %).</w:t>
      </w:r>
    </w:p>
    <w:p>
      <w:r>
        <w:rPr>
          <w:b/>
        </w:rPr>
        <w:t>E. 6</w:t>
      </w:r>
    </w:p>
    <w:p>
      <w:r>
        <w:t>Zusammenfassend ist festzuhalten, dass sich die Verneinung eines Rentenanspruches der BeschwerdefÃ¼hrerin und damit der angefochtene Einspracheentscheid als rechtens erweisen. Dies fÃ¼hrt zur Abweisung der Beschwerde.</w:t>
      </w:r>
    </w:p>
    <w:p>
      <w:r>
        <w:t>Das Gericht erkennt:</w:t>
      </w:r>
    </w:p>
    <w:p>
      <w:r>
        <w:t>1.Â Â Â Â Â Â Â Â  Die Beschwerde wird abgewiesen, soweit auf sie eingetreten wird.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Pollux L. Kaldis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