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IV.2004.00902 vom 21. November 2005</w:t>
      </w:r>
    </w:p>
    <w:p>
      <w:r>
        <w:t>ZH Sozialversicherungsgericht, 2005-11-21, DE</w:t>
      </w:r>
    </w:p>
    <w:p>
      <w:r>
        <w:rPr>
          <w:b/>
        </w:rPr>
        <w:t xml:space="preserve">Quelle: </w:t>
      </w:r>
      <w:r>
        <w:t>https://mcp.opencaselaw.ch/entscheid/zh_sozialversicherungsgericht_IV.2004.00902</w:t>
      </w:r>
    </w:p>
    <w:p>
      <w:r>
        <w:t>FR: ZH_SOZIALVERSICHERUNGSGERICHT IV.2004.00902 du 21 novembre 2005</w:t>
      </w:r>
    </w:p>
    <w:p>
      <w:r>
        <w:t>IT: ZH_SOZIALVERSICHERUNGSGERICHT IV.2004.00902 del 21 novembre 2005</w:t>
      </w:r>
    </w:p>
    <w:p>
      <w:pPr>
        <w:pStyle w:val="Heading2"/>
      </w:pPr>
      <w:r>
        <w:t>Erwägungen</w:t>
      </w:r>
    </w:p>
    <w:p>
      <w:r>
        <w:rPr>
          <w:b/>
        </w:rPr>
        <w:t>E. 1</w:t>
      </w:r>
    </w:p>
    <w:p>
      <w:r>
        <w:t>1.1Â Â Â Â  Nach der Rechtsprechung stellt das Sozialversicherungsgericht bei der Beurteilung einer Streitsache in der Regel auf den bis zum Zeitpunkt des Erlasses des streitigen Einspracheentscheids (hier: 16. November 2004) eingetretenen Sachverhalt ab (BGE 129 V 4 Erw. 1.2 mit Hinweis). Ferner sind in zeitlicher Hinsicht grundsÃ¤tzlich diejenigen RechtssÃ¤tze massgebend, die bei der ErfÃ¼llung des zu Rechtsfolgen fÃ¼hrenden Tatbestandes Geltung hatten (BGE 130 V 259 Erw. 3.5, BGE 130 V 333 Erw. 2.3, BGE 130 V 425 Erw. 1.1, BGE 130 V 447 Erw. 1.2.1, je mit weiteren Hinweisen).</w:t>
      </w:r>
    </w:p>
    <w:p>
      <w:r>
        <w:t>Â Â Â Â Â Â Â Â  Nachdem der Einspracheentscheid der IV-Stelle am 16. November 2004 ergangen ist, finden bei der Beurteilung des geltend gemachten Anspruchs sowohl die Bestimmungen des auf den 1. Januar 2003 in Kraft getretenen Bundesgesetzes Ã¼ber den Allgemeinen Teil des Sozialversicherungsrechts (ATSG) einschliesslich der damit verbundenen Ãnderungen der Invalidengesetzgebung als auch die mit der 4. IV-Revision auf den 1. Januar 2004 neu eingefÃ¼hrten oder geÃ¤nderten Normen Anwendung.</w:t>
      </w:r>
    </w:p>
    <w:p>
      <w:r>
        <w:t>Â Â Â Â Â Â Â Â  Dabei ist anzumerken, dass die von der Rechtsprechung zu den Begriffen des Invalidenversicherungsgesetzes herausgebildeten GrundsÃ¤tze unter der Herrschaft des ATSG prinzipiell weiterhin Geltung haben (vgl. BGE 130 V 352 Erw. 3.6).</w:t>
      </w:r>
    </w:p>
    <w:p>
      <w:r>
        <w:t>1.2Â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rPr>
          <w:b/>
        </w:rPr>
        <w:t>E. 2</w:t>
      </w:r>
    </w:p>
    <w:p>
      <w:r>
        <w:t>2.1Â Â Â Â  Anfechtungsobjekt ist der Nichteintretensentscheid der Beschwerdegegnerin und strittig und zu prÃ¼fen ist, ob die Beschwerdegegnerin auf die Einsprache der BeschwerdefÃ¼hrerin vom 16. September 2004 zu Recht nicht eingetreten ist. Soweit die BeschwerdefÃ¼hrerin eine mÃ¶gliche, revisionsweise Herabsetzung der Invalidenrente rÃ¼gt (Urk. 1 unten), ist auf die Beschwerde nicht einzutreten. Auf die AusfÃ¼hrungen der BeschwerdefÃ¼hrerin zur materiellen Seite ist nicht weiter einzugehen.</w:t>
      </w:r>
    </w:p>
    <w:p>
      <w:r>
        <w:t>2.2Â Â Â Â  Nach Art. 49 Abs. 1 des Bundesgesetzes Ã¼ber den Allgemeinen Teil des Sozialversicherungsrechts (ATSG) hat der VersicherungstrÃ¤ger Ã¼ber Leistungen, Forderungen und Anordnungen, die erheblich sind, schriftlich VerfÃ¼gungen zu erlassen. Die VerfÃ¼gungen werden nach Art. 49 Abs. 3 ATSG mit einer Rechtsmittelbelehrung versehen (Satz 1), und sie sind zu begrÃ¼nden, wenn sie den Begehren der Parteien nicht voll entsprechen (Satz 2).</w:t>
      </w:r>
    </w:p>
    <w:p>
      <w:r>
        <w:t>Â Â Â Â Â Â Â Â  Gegen VerfÃ¼gungen kann gemÃ¤ss Art. 52 Abs. 1 ATSG innerhalb von 30 Tagen bei der verfÃ¼genden Stelle Einsprache erhoben werden (1. Teilsatz). Nach Art. 10 Abs. 1 der Verordnung Ã¼ber den Allgemeinen Teil des Sozialversicherungsrechts (ATSV) mÃ¼ssen Einsprachen ein Rechtsbegehren und eine BegrÃ¼ndung enthalten; gestÃ¼tzt auf Art. 10 Abs. 3 ATSV kann die Einsprache, abgesehen von wenigen Ausnahmen (vgl. Art. 10 Abs. 2 ATSV), wahlweise schriftlich oder bei persÃ¶nlicher Vorsprache mÃ¼ndlich erhoben werden. GenÃ¼gt die Einsprache den Anforderungen nach Art. 10 Abs. 1 ATSV nicht oder fehlt die Unterschrift (vgl. Art. 10 Abs. 4 ATSV), so hat der Versicherer gemÃ¤ss Art. 10 Abs. 5 ATSV eine angemessene Frist zur Behebung der MÃ¤ngel anzusetzen und mit dieser Fristansetzung die Androhung zu verbinden, dass sonst auf die Einsprache nicht eingetreten wird.</w:t>
      </w:r>
    </w:p>
    <w:p>
      <w:r>
        <w:rPr>
          <w:b/>
        </w:rPr>
        <w:t>E. 3</w:t>
      </w:r>
    </w:p>
    <w:p>
      <w:r>
        <w:t>3.1Â Â Â Â  Mit Eingabe vom 16. September 2004 (Urk. 7/3/2) wandte sich die BeschwerdefÃ¼hrerin gegen die VerfÃ¼gung vom 17. August 2004 (Urk. 7/4), mit welcher der Anspruch auf eine HilflosenentschÃ¤digung verneint worden war. Da die Beschwerdegegnerin zum Schluss kam, die Eingabe vom 16. September 2004 genÃ¼ge fÃ¼r sich allein den Anforderungen an eine rechtsgenÃ¼gliche Einspracheschrift mangels klarem Rechtsbegehren nicht, sah sie sich in Anwendung von Art. 10 Abs. 5 ATSV mit Schreiben vom 13. Oktober 2004 - nach einer bereits erfolgten Verbesserung (vgl. Urk. 7/3/1) - zur Nachfristansetzung veranlasst (Urk. 7/2).</w:t>
      </w:r>
    </w:p>
    <w:p>
      <w:r>
        <w:t>3.2Â Â Â Â  Es ist unbestritten, dass die BeschwerdefÃ¼hrerin der brieflichen Aufforderung zur Nachlieferung eines klaren Rechtsbegehrens zu ihrer Einsprache vom 16. September 2004 bis zum Zeitpunkt des Erlasses des angefochtenen Einspracheentscheids vom 16. November 2004 nicht nachgekommen ist. Da die BeschwerdefÃ¼hrerin nicht vorbrachte, sie habe den entsprechenden Brief vom 13. Oktober 2004 nicht erhalten, und da sie auch den Zustellungszeitpunkt des 14./15. Oktober 2004, von dem die Beschwerdegegnerin ausgegangen war (vgl. Urk. 2 S. 1), nicht in Frage stellte (vgl. Urk. 1), steht fest, dass sie die ihr angesetzte 30tÃ¤gige Nachfrist verpasst hat.</w:t>
      </w:r>
    </w:p>
    <w:p>
      <w:r>
        <w:t>Â Â Â Â Â Â Â Â  Der angefochtene Nichteintretensentscheid ist somit unter der Voraussetzung rechtmÃ¤ssig, dass nicht bereits die Eingabe vom 16. September 2004 als rechtsgenÃ¼gliche Einspracheschrift betrachtet werden kann.</w:t>
      </w:r>
    </w:p>
    <w:p>
      <w:r>
        <w:rPr>
          <w:b/>
        </w:rPr>
        <w:t>E. 4.1</w:t>
      </w:r>
    </w:p>
    <w:p>
      <w:r>
        <w:t>4.1.1Â Â  Bei der PrÃ¼fung dieser Frage ist vorab festzuhalten, dass die AusfÃ¼hrungsvorschrift in Art. 10 Abs. 1 ATSV, die fÃ¼r Einsprachen einen Antrag und eine BegrÃ¼ndung verlangt, als gesetzeskonform erscheint, auch wenn in der Ã¼bergeordneten Vorschrift in Art. 52 Abs. 1 ATSG - anders als in Bezug auf die Beschwerdeschrift in der Vorschrift in Art. 61 lit. b ATSG - keine Anforderungen an die Einspracheschrift statuiert sind. Denn das Erfordernis, dass eine Einspracheschrift begrÃ¼ndet werden musste, bestand schon vor dem Inkrafttreten von ATSG und ATSV und war damals ebenfalls nur auf Verordnungsstufe kodifiziert, nÃ¤mlich in Art. 130 der Verordnung Ã¼ber die Unfallversicherung (UVV). Die hÃ¶chstrichterliche Rechtsprechung hatte die RechtsgÃ¼ltigkeit dieser Verordnungsbestimmung bejaht (vgl. RKUV 1988 Nr. U 60 S. 442 Erw. 2) und die darin festgelegte Regelung, dass Einsprachen zu begrÃ¼nden sind, analog auch in anderen Sozialversicherungsgebieten, insbesondere im Bereich der Krankenversicherung, angewendet (vgl. BGE 123 V 130 f. Erw. 3a und b mit Hinweisen; siehe auch BGE 115 V 426 Erw. 3a). Die neue Verordnungsbestimmung in Art. 10 Abs. 1 ATSV, mit deren Inkrafttreten die Vorschrift in Art. 130 UVV aufgehoben worden ist, stellt daher nichts anderes dar als die explizite Ausdehnung der bisherigen hÃ¶chstrichterlichen Praxis auf alle Rechtsgebiete, die dem ATSG und der ATSV unterstehen, und es besteht dementsprechend kein Anlass, ihre GesetzmÃ¤ssigkeit in Frage zu stellen. Zu ergÃ¤nzen ist, dass sich das EidgenÃ¶ssische Versicherungsgericht bislang - soweit ersichtlich - zumindest noch nicht gegenteilig zur GesetzeskonformitÃ¤t von Art. 10 Abs. 1 ATSV geÃ¤ussert hat, sondern die Anwendbarkeit dieser Bestimmung jeweils entweder vorausgesetzt hat (BGE 130 V 8 Erw. 4; Urteil des EidgenÃ¶ssischen Versicherungsgerichts in Sachen M. vom 16. August 2004, H 101/04, Erw. 2.2) oder die Frage nach deren Ãbereinstimmung mit Art. 52 Abs. 1 ATSG offen lassen konnte (Urteil des EidgenÃ¶ssischen Versicherungsgerichts in Sachen Z. vom 6. Mai 2004, H 305/03, Erw. 2).</w:t>
      </w:r>
    </w:p>
    <w:p>
      <w:r>
        <w:t>4.1.2Â Â  GemÃ¤ss der Praxis des EidgenÃ¶ssischen Versicherungsgerichts vor dem Inkrafttreten von ATSG und ATSV waren an die BegrÃ¼ndung der Einsprache keine strengen Anforderungen zu stellen; auf jeden Fall durften die Anforderungen nicht strenger sein als diejenigen, die der Gesetzgeber an eine rechtsgenÃ¼gliche Beschwerdeschrift stellte (BGE 123 V 131 Erw. 3b; siehe auch BGE 115 V 426 Erw. 3a). Im Hinblick auf diesen Grundsatz verlangte das EidgenÃ¶ssische Versicherungsgericht als Minimalerfordernis, dass die Einsprache deutlich machen mÃ¼sse, dass eine ÃberprÃ¼fung der angefochtenen VerfÃ¼gung verlangt werde (vgl. BGE 115 V 426 Erw. 3a). Was die Praxis fÃ¼r die Zeit nach dem Inkrafttreten von ATSG und ATSV anbelangt, so betonte das EidgenÃ¶ssische Versicherungsgericht fÃ¼r den Bereich der Schadenersatzforderungen nach Art. 52 des Bundesgesetzes Ã¼ber die Alters- und Hinterlassenenversicherung (AHVG), dass die Einsprache nach Art. 10 Abs. 1 ATSV vom altrechtlichen Einspruch nach Art. 81 Abs. 2 der Verordnung Ã¼ber die Alters- und Hinterlassenenversicherung (AHVV), der ohne jede BegrÃ¼ndung gÃ¼ltig gewesen sei, sofern daraus der klare Wille zum Einspruch hervorgegangen sei, zu unterscheiden sei. Daraus ist zu folgern, dass eine Einspracheschrift, mit der ohne jegliche BegrÃ¼ndung lediglich das NichteinverstÃ¤ndnis mit der angefochtenen VerfÃ¼gung erklÃ¤rt wird, den Anforderungen in Art. 10 Abs. 1 ATSV nicht genÃ¼gt.</w:t>
      </w:r>
    </w:p>
    <w:p>
      <w:r>
        <w:t>4.1.3Â Â  Es steht damit fest, dass zur Annahme einer rechtsgenÃ¼glichen Einsprache sowohl ein Antrag als auch eine BegrÃ¼ndung ersichtlich sein mÃ¼ssen. Hierbei sind aber angesichts des Verbots des Ã¼berspitzten Formalismus und der Praxis zum frÃ¼heren Recht keine allzu strengen Anforderungen zu stellen. Ein sinngemÃ¤ss erkennbares Rechtsbegehren dÃ¼rfte genÃ¼gen. BezÃ¼glich der verlangten BegrÃ¼ndungsdichte ist sodann auch die BegrÃ¼ndungsqualitÃ¤t der angefochtenen VerfÃ¼gung zu berÃ¼cksichtigen: ist die BegrÃ¼ndungsqualitÃ¤t der angefochtenen VerfÃ¼gung gering, kÃ¶nnen auch die Anforderungen an die BegrÃ¼ndungsqualitÃ¤t der Einsprache keine hohen sein. Die Bekundung des Einsprachewillens ohne jegliche begrÃ¼ndenden AusfÃ¼hrungen genÃ¼gt indes fÃ¼r die Annahme einer rechtsgenÃ¼glichen Einsprache nicht.</w:t>
      </w:r>
    </w:p>
    <w:p>
      <w:r>
        <w:rPr>
          <w:b/>
        </w:rPr>
        <w:t>E. 4.2</w:t>
      </w:r>
    </w:p>
    <w:p>
      <w:r>
        <w:t>4.2.1Â Â  Damit ist zu prÃ¼fen, ob die Eingabe vom 16. September 2004 den Anforderungen in Art. 10 Abs. 1 ATSV genÃ¼gt.</w:t>
      </w:r>
    </w:p>
    <w:p>
      <w:r>
        <w:t>4.2.2Â Â  Der vorliegend zur Diskussion stehenden Eingabe vom 16. September 2004 ist die Bekundung des Einsprachewillens unmissverstÃ¤ndlich zu entnehmen. So bezieht sich die BeschwerdefÃ¼hrerin auf die BegrÃ¼ndung in der angefochtenen VerfÃ¼gung, wonach aus Ã¤rztlicher Sicht keine Hilflosigkeit vorliege (vgl. Urk. 7/4 S. 2), und bezweifelt die Richtigkeit dieser Aussage (Urk. 7/3/2 oben und unten). Sodann bringt sie vor, sie sei bereit, sich einer weiteren Ã¤rztlichen Untersuchung zu unterziehen. Der Ehemann der BeschwerdefÃ¼hrerin, der Arzt sei und sie gepflegt habe, kÃ¶nne Angaben bezÃ¼glich ihrer Hilflosigkeit machen (Urk. 7/3/2 unten).</w:t>
      </w:r>
    </w:p>
    <w:p>
      <w:r>
        <w:t>Â Â Â Â Â Â Â Â  Aus Gesagtem geht hervor, dass die BeschwerdefÃ¼hrerin sinngemÃ¤ss nochmalige AbklÃ¤rungen bezÃ¼glich ihres Anspruches auf eine HilflosenentschÃ¤digung, eventualiter die Zusprache einer HilflosenentschÃ¤digung, beantragte. Der Eingabe vom 16. September 2004 ist damit - zumindest sinngemÃ¤ss - ein Rechtsbegehren zu entnehmen. Sodann sind angesichts der beanstandeten VerfÃ¼gung vom 17. August 2004, die ihrerseits sehr kurz begrÃ¼ndet ist (Urk. 7/4 S. 2), an die BegrÃ¼ndungsdichte der Einsprache keine hohen Anforderungen zu stellen. Eine kurze BegrÃ¼ndung ist der Eingabe vom 16. September 2004 aber durchaus zu entnehmen. Vor diesem Hintergrund stellt diese somit eine rechtsgenÃ¼gliche Einspracheschrift dar, auf welche die Beschwerdegegnerin ohne weitere Fristansetzung hÃ¤tte eintreten sollen.</w:t>
      </w:r>
    </w:p>
    <w:p>
      <w:r>
        <w:t>5.Â Â Â Â Â Â  Somit ist die Beschwerde, soweit auf sie einzutreten ist, in dem Sinne gutzuheissen, dass der angefochtene Nichteintretensentscheid aufzuheben und die Sache an die Beschwerdegegnerin zurÃ¼ckzuweisen ist, damit sie die Einsprache materiell behandle.</w:t>
      </w:r>
    </w:p>
    <w:p>
      <w:r>
        <w:t>Das Gericht erkennt:</w:t>
      </w:r>
    </w:p>
    <w:p>
      <w:r>
        <w:t>1.Â Â Â Â Â Â Â Â  Die Beschwerde wird, soweit auf sie eingetreten wird, in dem Sinne gutgeheissen, dass der Einspracheentscheid vom 16. November 2004 aufgehoben und die Sache an die Sozialversicherungsanstalt des Kantons ZÃ¼rich, IV-Stelle, zurÃ¼ckgewiesen wird, damit diese auf die Einsprache vom 16. September 2004 eintrete und darÃ¼ber materiell entscheide.</w:t>
      </w:r>
    </w:p>
    <w:p>
      <w:r>
        <w:t>2.Â Â Â Â Â Â Â Â  Das Verfahren ist kostenlos.</w:t>
      </w:r>
    </w:p>
    <w:p>
      <w:r>
        <w:t>3.Â Â Â Â Â Â Â Â  Zustellung gegen Empfangsschein an:</w:t>
      </w:r>
    </w:p>
    <w:p>
      <w:r>
        <w:t>- M.___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