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IV.2004.00875 vom 16. Juni 2005</w:t>
      </w:r>
    </w:p>
    <w:p>
      <w:r>
        <w:t>ZH Sozialversicherungsgericht, 2005-06-16, DE</w:t>
      </w:r>
    </w:p>
    <w:p>
      <w:r>
        <w:rPr>
          <w:b/>
        </w:rPr>
        <w:t xml:space="preserve">Quelle: </w:t>
      </w:r>
      <w:r>
        <w:t>https://mcp.opencaselaw.ch/entscheid/zh_sozialversicherungsgericht_IV.2004.00875</w:t>
      </w:r>
    </w:p>
    <w:p>
      <w:r>
        <w:t>FR: ZH_SOZIALVERSICHERUNGSGERICHT IV.2004.00875 du 16 juin 2005</w:t>
      </w:r>
    </w:p>
    <w:p>
      <w:r>
        <w:t>IT: ZH_SOZIALVERSICHERUNGSGERICHT IV.2004.00875 del 16 giugno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Versicherte haben bis zum vollendeten 20. Altersjahr Anspruch auf die zur Behandlung von Geburtsgebrechen (Art. 3 Abs. 2 des Bundesgesetzes Ã¼ber den Allgemeinen Teil des Sozialversicherungsrechts [ATSG]) notwendigen medizinischen Massnahmen (Art. 13 Abs. 1 des Bundesgesetzes Ã¼ber die Invalidenversicherung [IVG]). Der Bundesrat bezeichnet die Gebrechen, fÃ¼r welche diese Massnahmen gewÃ¤hrt werden. Er kann die Leistung ausschliessen, wenn das Gebrechen von geringfÃ¼giger Bedeutung ist (Art. 13 Abs. 2 IVG). Â</w:t>
      </w:r>
    </w:p>
    <w:p>
      <w:r>
        <w:t>Â Â Â Â Â Â Â Â  Als Geburtsgebrechen gelten diejenigen Krankheiten, die bei vollendeter Geburt bestehen (Art. 3 Abs. 2 ATSG in Verbindung mit Art. 1 Abs. 1 Satz 1 GgV). Die blosse Veranlagung zu einem Leiden gilt nicht als Geburtsgebrechen. Der Zeitpunkt, in dem ein Geburtsgebrechen als solches erkannt wird, ist unerheblich (Art. 1 Abs. 1 GgV). Die Geburtsgebrechen sind in der Liste im Anhang aufgefÃ¼hrt. Das EidgenÃ¶ssische Departement des Innern kann eindeutige Geburtsgebrechen, die nicht in der Liste im Anhang enthalten sind, als Geburtsgebrechen im Sinne von Art. 13 IVG bezeichnen (Art. 1 Abs. 2 GgV in der hier massgebenden, bis Dezember 2004 gÃ¼ltig gewesenen Fassung). Als medizinische Massnahmen, die fÃ¼r die Behandlung eines Geburtsgebrechens notwendig sind, gelten sÃ¤mtliche Vorkehren, die nach bewÃ¤hrter Erkenntnis der medizinischen Wissenschaft angezeigt sind und den therapeutischen Erfolg in einfacher und zweckmÃ¤ssiger Weise anstreben (Art. 2 Abs. 3 GgV).</w:t>
      </w:r>
    </w:p>
    <w:p>
      <w:r>
        <w:rPr>
          <w:b/>
        </w:rPr>
        <w:t>E. 2</w:t>
      </w:r>
    </w:p>
    <w:p>
      <w:r>
        <w:t>2.1Â Â Â Â  Die Beschwerdegegnerin stellt sich auf den Standpunkt, dass beim Versicherten die Voraussetzungen fÃ¼r eine Anerkennung des Geburtsgebrechens Ziff. 390 GgV Anhang nicht mehr gegeben seien, da weder eine athetotische, noch eine ataktische, noch eine spastische Form einer cerebralen LÃ¤hmung vorliege, weshalb auch keine Kostengutsprache fÃ¼r medizinische Leistungen mehr erfolgen kÃ¶nne (Urk. 7/8, 2).</w:t>
      </w:r>
    </w:p>
    <w:p>
      <w:r>
        <w:t>2.2Â Â Â Â  Mit Verweis auf die Beurteilung durch Dr. B.___ und Dr. med. C.___, Facharzt fÃ¼r PÃ¤diatrie, wird seitens des Versicherten geltend gemacht, die cerebrale BewegungsstÃ¶rung fÃ¼hre nicht nur zu einer motorischen BeeintrÃ¤chtigung, sondern auch zu einem allgemeinen EntwicklungsrÃ¼ckstand.</w:t>
      </w:r>
    </w:p>
    <w:p>
      <w:r>
        <w:t>Es seien deshalb weiterhin medizinische Massnahmen und Ergotherapie zu gewÃ¤hren (Urk. 1).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die Eltern des F.___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