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IV.2004.00796 vom 20. Juli 2005</w:t>
      </w:r>
    </w:p>
    <w:p>
      <w:r>
        <w:t>ZH Sozialversicherungsgericht, 2005-07-20, DE</w:t>
      </w:r>
    </w:p>
    <w:p>
      <w:r>
        <w:rPr>
          <w:b/>
        </w:rPr>
        <w:t xml:space="preserve">Quelle: </w:t>
      </w:r>
      <w:r>
        <w:t>https://mcp.opencaselaw.ch/entscheid/zh_sozialversicherungsgericht_IV.2004.00796</w:t>
      </w:r>
    </w:p>
    <w:p>
      <w:r>
        <w:t>FR: ZH_SOZIALVERSICHERUNGSGERICHT IV.2004.00796 du 20 juillet 2005</w:t>
      </w:r>
    </w:p>
    <w:p>
      <w:r>
        <w:t>IT: ZH_SOZIALVERSICHERUNGSGERICHT IV.2004.00796 del 20 luglio 2005</w:t>
      </w:r>
    </w:p>
    <w:p>
      <w:pPr>
        <w:pStyle w:val="Heading2"/>
      </w:pPr>
      <w:r>
        <w:t>Erwägungen</w:t>
      </w:r>
    </w:p>
    <w:p>
      <w:r>
        <w:rPr>
          <w:b/>
        </w:rPr>
        <w:t>E. 2</w:t>
      </w:r>
    </w:p>
    <w:p>
      <w:r>
        <w:t>2.1Â Â Â Â  Streitig und zu prÃ¼fen ist, ob der BeschwerdefÃ¼hrerin ein Anspruch auf eine Zusatzrente fÃ¼r ihren Ehemann zukommt.</w:t>
      </w:r>
    </w:p>
    <w:p>
      <w:r>
        <w:rPr>
          <w:b/>
        </w:rPr>
        <w:t>E. 2.2</w:t>
      </w:r>
    </w:p>
    <w:p>
      <w:r>
        <w:t>Â Â Â  Die BeschwerdefÃ¼hrerin machte geltend, mit der 10. AHV-Revision, in Kraft seit dem 1. Januar 1997, wÃ¼rden Zusatzrenten auch fÃ¼r EhemÃ¤nner ausgerichtet (Urk. 1 S. 3). Von der Beschwerdegegnerin sei verkannt worden, dass in ihrem Fall die gesetzlichen Voraussetzungen fÃ¼r die Ausrichtung einer Zusatzrente bereits am 1. Januar 1997 erfÃ¼llt gewesen seien (Urk. 1 S. 4). Da die Schlussbestimmungen zu den Ãnderungen vom 7. Oktober 1994 des IVG auf die UeB AHVG verwiesen, bestehe gemÃ¤ss lit. f. Abs. 2 UeB AHVG auch ein Leistungsanspruch fÃ¼r VersicherungsfÃ¤lle, welche vor dem 1. Januar 1997 eingetreten seien (Urk. 1 S. 5).</w:t>
      </w:r>
    </w:p>
    <w:p>
      <w:r>
        <w:t>2.3Â Â Â Â  Die Beschwerdegegnerin hielt dem entgegen, dass bei der BeschwerdefÃ¼hrerin der Versicherungsfall bereits im Oktober 1990 eingetreten sei. Die Ãbergangsbestimmungen enthielten keine Hinweise zu den Zusatzrenten. Das Bundesamt fÃ¼r Sozialversicherung habe jedoch mit Schreiben vom 27. Februar 1998 Informationen an die Ausgleichskassen abgegeben (Bulletin Nr. 5), gemÃ¤ss welchen bei VersicherungsfÃ¤llen, welche vor dem 1. Januar 1997 eingetreten seien, sich der Anspruch nach altem Recht richte. Auch wenn diesen Weisungen keine normative Wirkung zukomme und sie vor allem Bundesrecht nicht vorgehen kÃ¶nnten, hÃ¤tten sich die Ausgleichskassen daran zu halten. Da sÃ¤mtliche Voraussetzungen von Art. 34 Abs. 1 aIVG bereits im Oktober 1990 erfÃ¼llt gewesen seien, bestehe kein Anspruch auf die Ausrichtung einer Zusatzrente (Urk. 7 S. 2 unten Ziff. 3).</w:t>
      </w:r>
    </w:p>
    <w:p>
      <w:r>
        <w:rPr>
          <w:b/>
        </w:rPr>
        <w:t>E. 3</w:t>
      </w:r>
    </w:p>
    <w:p>
      <w:r>
        <w:t>Zustellung gegen Empfangsschein an:</w:t>
      </w:r>
    </w:p>
    <w:p>
      <w:r>
        <w:t>- lic. iur. Maia Ernst</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3.3</w:t>
      </w:r>
    </w:p>
    <w:p>
      <w:r>
        <w:t>Vorliegend wurde der seit dem 9. Januar 1986 verheirateten BeschwerdefÃ¼hrerin (Urk. 8/19 Ziff. 1.5) ab Oktober 1990 eine ganze Invalidenrente zugesprochen (Urk. 8/14). Der Versicherungsfall ist somit vor dem 1. Januar 1997 eingetreten, weshalb Art. 34 Abs. 1 IVG mangels RÃ¼ckwirkung keine Anwendung findet, was bedeutet, dass die rentenberechtigte verheiratete BeschwerdefÃ¼hrerin keinen Anspruch auf eine Zusatzrente fÃ¼r ihren Ehemann hat (vgl. AHI 2000 S. 229).</w:t>
      </w:r>
    </w:p>
    <w:p>
      <w:r>
        <w:t>Â Â Â Â Â Â Â Â  Somit erweist sich der angefochtene Einspracheentscheid im Ergebnis als zutreffend, so dass die dagegen erhobene Beschwerde abzuweisen ist.</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