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IV.2004.00736 vom 22. Dezember 2004</w:t>
      </w:r>
    </w:p>
    <w:p>
      <w:r>
        <w:t>ZH Sozialversicherungsgericht, 2004-12-22, DE</w:t>
      </w:r>
    </w:p>
    <w:p>
      <w:r>
        <w:rPr>
          <w:b/>
        </w:rPr>
        <w:t xml:space="preserve">Quelle: </w:t>
      </w:r>
      <w:r>
        <w:t>https://mcp.opencaselaw.ch/entscheid/zh_sozialversicherungsgericht_IV.2004.00736</w:t>
      </w:r>
    </w:p>
    <w:p>
      <w:r>
        <w:t>FR: ZH_SOZIALVERSICHERUNGSGERICHT IV.2004.00736 du 22 décembre 2004</w:t>
      </w:r>
    </w:p>
    <w:p>
      <w:r>
        <w:t>IT: ZH_SOZIALVERSICHERUNGSGERICHT IV.2004.00736 del 22 dicembre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Nach der Rechtsprechung geht der Grundsatz der GesetzmÃ¤ssigkeit der Verwaltung in der Regel der RÃ¼cksicht auf die gleichmÃ¤ssige Rechtsanwendung vor. Der Umstand, dass das Gesetz in andern FÃ¤llen nicht oder nicht richtig angewendet worden ist, gibt dem BÃ¼rger und der BÃ¼rgerin grundsÃ¤tzlich keinen Anspruch darauf, ebenfalls abweichend vom Gesetz behandelt zu werden. Das gilt jedoch nur, wenn lediglich in einem einzigen oder in einigen wenigen FÃ¤llen eine abweichende Behandlung dargetan ist. Wenn dagegen die BehÃ¶rden die Aufgabe der in andern FÃ¤llen geÃ¼bten, gesetzwidrigen Praxis ablehnen, kann der BÃ¼rger oder die BÃ¼rgerin verlangen, dass die gesetzwidrige BegÃ¼nstigung, die Dritten zuteil wird, auch ihnen gewÃ¤hrt werde. Die Anwendung der Gleichbehandlung im Unrecht setzt jedoch als Vorbedingung voraus, dass die zu beurteilenden Sachverhalte identisch oder zumindest Ã¤hnlich sind (AHI 2000 S. 78 Erw. 2c/aa, BGE 126 V 392 Erw. 6a mit Hinweis auf Lehre und Rechtsprechung).</w:t>
      </w:r>
    </w:p>
    <w:p>
      <w:r>
        <w:t>3.2Â Â Â Â  Die Frage, ob fÃ¼r andere Kinder am S.___ in der gleichen Situation SonderschulbeitrÃ¤ge Ã¼bernommen worden sind, kann offen bleiben. Denn es fehlt an den weiteren Voraussetzungen, dass die Beschwerdegegnerin in stÃ¤ndiger Praxis gesetzwidrig BeitrÃ¤ge fÃ¼r auslÃ¤ndische Kinder, bei denen sich der Versicherungsfall vor der Einreise in die Schweiz ereignet hat, gewÃ¤hrt hÃ¤tte und dies weiterhin zu tun beabsichtigte. Damit kann die BeschwerdefÃ¼hrerin keine Gleichbehandlung im Unrecht verlangen.</w:t>
      </w:r>
    </w:p>
    <w:p>
      <w:r>
        <w:t>4.Â Â Â Â Â Â  Nach dem Dargelegten hat die Beschwerdegegnerin ihre Leistungspflicht zu Recht verneint, weshalb die Beschwerde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