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IV.2004.00675 vom 19. Mai 2005</w:t>
      </w:r>
    </w:p>
    <w:p>
      <w:r>
        <w:t>ZH Sozialversicherungsgericht, 2005-05-19, DE</w:t>
      </w:r>
    </w:p>
    <w:p>
      <w:r>
        <w:rPr>
          <w:b/>
        </w:rPr>
        <w:t xml:space="preserve">Quelle: </w:t>
      </w:r>
      <w:r>
        <w:t>https://mcp.opencaselaw.ch/entscheid/zh_sozialversicherungsgericht_IV.2004.00675</w:t>
      </w:r>
    </w:p>
    <w:p>
      <w:r>
        <w:t>FR: ZH_SOZIALVERSICHERUNGSGERICHT IV.2004.00675 du 19 mai 2005</w:t>
      </w:r>
    </w:p>
    <w:p>
      <w:r>
        <w:t>IT: ZH_SOZIALVERSICHERUNGSGERICHT IV.2004.00675 del 19 maggio 2005</w:t>
      </w:r>
    </w:p>
    <w:p>
      <w:pPr>
        <w:pStyle w:val="Heading2"/>
      </w:pPr>
      <w:r>
        <w:t>Erwägungen</w:t>
      </w:r>
    </w:p>
    <w:p>
      <w:r>
        <w:rPr>
          <w:b/>
        </w:rPr>
        <w:t>E. 2</w:t>
      </w:r>
    </w:p>
    <w:p>
      <w:r>
        <w:t>2.1Â Â Â Â  Streitig und zu prÃ¼fen ist, ob die Kosten fÃ¼r die Ergotherapie des Versicherten ab 1. August 2004 durch die Invalidenversicherung zu Ã¼bernehmen sind. In diesem Zusammenhang ist vorerst zu prÃ¼fen, ob beim Versicherten ein Geburtsgebrechen vorliegt und ob eine Leistungspflicht der Invalidenversicherung gestÃ¼tzt auf Art. 13 IVG gegeben ist.</w:t>
      </w:r>
    </w:p>
    <w:p>
      <w:r>
        <w:t>2.2Â Â Â Â  Versicherte haben bis zum vollendeten 20. Altersjahr Anspruch auf die zur Behandlung von Geburtsgebrechen (Art. 3 Abs. 2 ATSG) notwendigen medizinischen Massnahmen (Art. 13 Abs. 1 IVG). Der Bundesrat bezeichnet die Gebrechen, fÃ¼r welche diese Massnahmen gewÃ¤hrt werden. Er kann die Leistung ausschliessen, wenn das Gebrechen von geringfÃ¼giger Bedeutung ist (Art. 13 Abs. 2 IVG). Â Â Â Â Â</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eindeutige Geburtsgebrechen, die nicht in der Liste im Anhang enthalten sind, als Geburtsgebrechen im Sinne von Art. 13 IVG bezeichnen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2.3Â Â Â Â  FÃ¼r die Annahme einer Leistungspflicht der Invalidenversicherung aufgrund von Art. 13 IVG genÃ¼gt nach konstanter Rechtsprechung des EidgenÃ¶ssischen Versicherungsgerichtes in beweisrechtlicher Hinsicht, dass es ein Facharzt oder eine FachÃ¤rztin zumindest fÃ¼r wahrscheinlich hÃ¤lt, es liege ein im Anhang der GgV enthaltenes Gebrechen vor (BGE 100 V 108 Erw. 2 in fine).</w:t>
      </w:r>
    </w:p>
    <w:p>
      <w:r>
        <w:t>Â Â Â Â Â Â Â Â  Unter Ziff. 390 GgV Anhang in der bis 31. Dezember 2004 gÃ¼ltig gewesenen, hier anwendbaren Fassung werden die angeborenen cerebralen LÃ¤hmungen (spastisch, athetotisch, athaktisch) erwÃ¤hnt.</w:t>
      </w:r>
    </w:p>
    <w:p>
      <w:r>
        <w:t>2.4Â Â Â Â  GemÃ¤ss der Verwaltungspraxis ist ein Geburtsgebrechen im Sinne von Ziff. 390 GgV Anhang nur dann anzunehmen, wenn eine eindeutige, typische, also zweifelsfrei diagnostizierbare "klassische" spastische, athetotische oder ataktische Symptomatik vorliegt. Ein erhÃ¶hter Muskeltonus, asymmetrische Reflexe, ein etwas unharmonisch ausgefÃ¼hrter Hampelmann oder eine Dysdiadochokinese sind nicht beweisend fÃ¼r das Vorliegen eines Geburtsgebrechens Ziff. 390 GgV Anhang. Auch ein psychomotorischer EntwicklungsrÃ¼ckstand ist noch nicht identisch mit einer cerebralen LÃ¤hmung. Abnorme motorische PhÃ¤nomene im Sinne einer leichten cerebralen BewegungsstÃ¶rung reichen nicht aus, um ein Geburtsgebrechen Ziff. 390 GgV Anhang anerkennen zu kÃ¶nnen (Rz 390.1 des ab 1. November 2000 gÃ¼ltigen Kreisschreibens des Bundesamtes fÃ¼r Sozialversicherungen Ã¼ber die medizinischen Eingliederungsmassnahmen in der Invalidenversicherung, KSME).</w:t>
      </w:r>
    </w:p>
    <w:p>
      <w:r>
        <w:rPr>
          <w:b/>
        </w:rPr>
        <w:t>E. 2.5</w:t>
      </w:r>
    </w:p>
    <w:p>
      <w:r>
        <w:t>Â Â Â  Verwaltungsweisungen sind fÃ¼r das Sozialversicherungsgericht nicht verbindlich. Es soll sie bei seiner Entscheidung mit berÃ¼cksichtigen, sofern sie eine dem Einzelfall angepasste und gerecht werdende Auslegung der anwendbaren gesetzlichen Bestimmungen zulassen. Es weicht anderseits insoweit von Weisungen ab, als sie mit den anwendbaren gesetzlichen Bestimmungen nicht vereinbar sind (BGE 130 V 172 Erw. 4.3.1, 232 Erw. 2.1 mit Hinweisen). Dazu besteht vorliegend kein Anlass.</w:t>
      </w:r>
    </w:p>
    <w:p>
      <w:r>
        <w:rPr>
          <w:b/>
        </w:rPr>
        <w:t>E. 3</w:t>
      </w:r>
    </w:p>
    <w:p>
      <w:r>
        <w:t>3.1Â Â Â Â  In den Berichten des Spitals B.___ vom 18. Dezember 2003 (Urk. 7/8) und vom 10. Juni 2004 (Urk. 7/12) erklÃ¤rten die behandelnden Ãrztinnen, der Versicherte weise einen leicht verzÃ¶gerten kognitiven Entwicklungsstand auf. Daneben zeige er deutliche grob- und feinmotorische Ungeschicklichkeiten mit langsamen, umstÃ¤ndlichen und verkrampften BewegungsablÃ¤ufen sowie einer leichten Dysmetrie. Neurologisch fÃ¤nden sich eine leichte Tonusdiskrepanz zwischen Passiv- und Aktivtonus sowie allseits sehr lebhafte Reflexe mit subklonischem ASR (Achillessehnen-Reflex) linksbetont.</w:t>
      </w:r>
    </w:p>
    <w:p>
      <w:r>
        <w:t>Â Â Â Â Â Â Â Â  Die Frage, ob ein oder mehrere Geburtsgebrechen gemÃ¤ss GgV vorlÃ¤gen, wurde nicht beantwortet. DemgegenÃ¼ber wurde angefÃ¼gt, frÃ¼her habe das Geburtsgebrechen Ziff. 395 (leichte cerebrale BewegungsstÃ¶rung, Behandlung bis Ende des 2. Lebensjahres) vorgelegen.</w:t>
      </w:r>
    </w:p>
    <w:p>
      <w:r>
        <w:t>3.2Â Â Â Â  Dr. med. C.___ vom Regionalen Ã¤rztlichen Dienst der IV-Stelle hielt am 6. September 2004 fest, die Behandlung des EntwicklungsrÃ¼ckstandes kÃ¶nne nicht von der Invalidenversicherung Ã¼bernommen werden. Zudem sei ein Geburtsgebrechen gemÃ¤ss Ziff. 390 GgV Anhang nicht ausgewiesen (Urk. 7/2).</w:t>
      </w:r>
    </w:p>
    <w:p>
      <w:r>
        <w:rPr>
          <w:b/>
        </w:rPr>
        <w:t>E. 4</w:t>
      </w:r>
    </w:p>
    <w:p>
      <w:r>
        <w:t>4.1Â Â Â Â  GestÃ¼tzt auf die AusfÃ¼hrungen von Dr. C.___ stellt sich die Beschwerdegegnerin auf den Standpunkt, dass ein Geburtsgebrechen gemÃ¤ss Ziff. 390 GgV Anhang nicht vorliege (Urk. 2 S. 4).</w:t>
      </w:r>
    </w:p>
    <w:p>
      <w:r>
        <w:t>Â Â Â Â Â Â Â Â  DemgegenÃ¼ber macht der Vater des Versicherten geltend, in den Berichten der Ãrztinnen des Spitals B.___ werde auf ein Geburtsgebrechen Â«Nr. 390Â» hingewiesen. Der Umstand, dass sein Sohn cerebrale BewegungsstÃ¶rungen aufweise, sei als Geburtsgebrechen "Zerebrale LÃ¤hmung" auszulegen, weshalb ein Geburtsgebrechen Ziff. 390 gegeben sei.</w:t>
      </w:r>
    </w:p>
    <w:p>
      <w:r>
        <w:t>4.2Â Â Â Â  Im Bericht der Ergotherapeutin D.___ vom 3. September 2003 (Urk. 7/8/2) werden in der Diagnose eine cerebrale BewegungsstÃ¶rung und ein psychomotorischer EntwicklungsrÃ¼ckstand erwÃ¤hnt, was mit der vom behandelnden Kinderarzt, Dr. med. E.___, Facharzt fÃ¼r Kinder- und Jugendmedizin, am 21. MÃ¤rz 2003 gestellten Diagnose Ã¼bereinstimmt (Urk. 7/13). Diese Diagnose wurde von den Ãrztinnen des Spitals B.___ in den spÃ¤teren Berichten jedoch nicht mehr bestÃ¤tigt. Zudem genÃ¼gt eine leichte cerebrale BewegungsstÃ¶rung zwar, um das Geburtsgebrechen Ziff. 395 GgV Anhang zu bejahen, jedoch kÃ¶nnen fÃ¼r dieses nur Leistungen bis zum Alter von 24 Monaten von der Invalidenversicherung Ã¼bernommen werden (Ziff. 395 GgV Anhang und KSME Rz 395). Aus den Berichten des Spitals B.___ geht nichts hervor, was auf eine cerebrale LÃ¤hmung hinweist. GemÃ¤ss KSME Rz 390.1 ist ein psychomotorischer EntwicklungsrÃ¼ckstand nicht identisch mit einer cerebralen LÃ¤hmung, und auch eine leichte cerebrale BewegungsstÃ¶rung reicht nicht aus, um ein Geburtsgebrechen gemÃ¤ss Ziff. 390 GgV Anhang anerkennen zu kÃ¶nnen. Im Hinblick darauf, dass es kein Facharzt fÃ¼r wahrscheinlich hÃ¤lt, dass die beim Versicherten nach seiner FrÃ¼hgeburt verbliebenen motorischen StÃ¶rungen den unter Ziff. 390 GgV Anhang erwÃ¤hnten angeborenen cerebralen LÃ¤hmungen zugeordnet werden kÃ¶nnen, besteht keine Leistungspflicht der Invalidenversicherung gestÃ¼tzt auf Art. 13 IVG.</w:t>
      </w:r>
    </w:p>
    <w:p>
      <w:r>
        <w:rPr>
          <w:b/>
        </w:rPr>
        <w:t>E. 5</w:t>
      </w:r>
    </w:p>
    <w:p>
      <w:r>
        <w:t>5.1Â Â Â Â  Zu prÃ¼fen ist, ob dem Versicherten die beantragte Ergotherapie unter dem Titel medizinische Massnahmen nach Art. 12 IVG zusteht.</w:t>
      </w:r>
    </w:p>
    <w:p>
      <w:r>
        <w:t>5.2Â Â Â Â  Die Beschwerdegegnerin hat im angefochtenen Einspracheentscheid die massgeblichen gesetzlichen Grundlagen (Art. 12 Abs. 1 IVG, Art. 2 Abs. 1 1. Satz IVV), die weiterhin anwendbare (Urteil des EidgenÃ¶ssischen Versicherungsgerichtes vom 27. August 2004 in Sachen B., I 670/03, Erw. 1.4) unter der Herrschaft des ATSG ergangene Rechtsprechung sowie die Voraussetzungen, unter denen bei nichterwerbstÃ¤tigen MinderjÃ¤hrigen nach Massgabe von Art. 5 Abs. 2 IVG in Verbindung mit Art. 8 Abs. 2 ATSG und der dazu ergangenen Rechtsprechung (BGE 105 V 20; AHI 2003 S. 104 Erw. 2) ein Anspruch auf medizinische Massnahmen selbst dann besteht, wenn einstweilen labiles pathologisches Geschehen vorliegt, zutreffend dargelegt (Urk. 2 S. 1 bis 4). Darauf kann verwiesen werden.</w:t>
      </w:r>
    </w:p>
    <w:p>
      <w:r>
        <w:t>Â Â Â Â Â Â Â Â  Als medizinische Massnahme im Sinne von Art. 12 IVG kann die Ergotherapie gemÃ¤ss Randziffer 1014 KSME bei KÃ¶rperbehinderten eine notwendige ErgÃ¤nzung der Physiotherapie wie auch eine eigenstÃ¤ndige medizinische Eingliederungsmassnahme sein, die zulasten der IV geht, wenn sie weder sachlich noch zeitlich zur Behandlung des Leidens an sich gehÃ¶rt. Die funktionelle Ergotherapie dient laut Randziffer 1015 KSME zur Verbesserung ungenÃ¼gender Funktionen des Bewegungsapparates und ist auf die Anforderungen der beruflichen Eingliederung ausgerichtet.</w:t>
      </w:r>
    </w:p>
    <w:p>
      <w:r>
        <w:t>5.3Â Â Â Â  Im Bericht des Spitals B.___ vom 18. Dezember 2003 (Urk. 7/8/1 S. 3) wird erlÃ¤utert, aufgrund der weiterhin vorliegenden grob- und feinmotorischen Ungeschicklichkeiten sei die FortfÃ¼hrung der Ergotherapie mÃ¶glichst unter Einbeziehung von Elementen der sensorischen Integration (SI) zu befÃ¼rworten. Auch im Bericht vom 10. Juni 2004 (Urk. 7/12) erklÃ¤rten die Ãrztinnen des Spitals B.___, die WeiterfÃ¼hrung der Ergotherapie fÃ¼r ein weiteres Jahr sei zur FÃ¶rderung der Handfertigkeiten wie auch der Visuomotorik angezeigt. Ebenso empfahl die Ergotherapeutin D.___ im Bericht vom 3. September 2003 (Urk. 7/8/2) die WeiterfÃ¼hrung der ergotherapeutischen Behandlung.</w:t>
      </w:r>
    </w:p>
    <w:p>
      <w:r>
        <w:t>5.4Â Â Â Â  Die Ablehnung der Kostengutsprache fÃ¼r die umstrittene Therapie Ã¼ber den 31. Juli 2004 hinaus begrÃ¼ndete die Beschwerdegegnerin einerseits damit, dass die Ergotherapie mit dem Ãbertritt des Versicherten in die Sonderklasse A nicht mehr - wie bis anhin - auf die Behandlung des Sprachgebrechens gerichtet sei, und andererseits mit dem Hinweis auf das IV-Rundschreiben Nr. 197 des Bundesamtes fÃ¼r Sozialversicherung (BSV) vom 23. April 2004. Darin wird einer Ergotherapie als UnterstÃ¼tzungsmassnahme zur Sprachheilbehandlung die Wirksamkeit abgesprochen, weshalb geltende Kostengutsprachen nicht mehr zu verlÃ¤ngern seien.</w:t>
      </w:r>
    </w:p>
    <w:p>
      <w:r>
        <w:t>Â Â Â Â Â Â Â Â  Dem ist entgegenzuhalten, dass beim Versicherten ab August 2004 keine Sprachheilbehandlung mehr durchgefÃ¼hrt wird, da er nach Beendigung des Sprachheilkindergartens eine A-Klasse (Kleinklasse) besucht, was keine Sonderschulmassnahme darstellt (Urk. 7/5-7). Es kann daher offengelassen werden, ob Ergotherapie zur UnterstÃ¼tzung der Sprachheilbehandlung durch die Invalidenversicherung zu Ã¼bernehmen ist, da vorliegend keine Sprachheilbehandlung zur Diskussion steht.</w:t>
      </w:r>
    </w:p>
    <w:p>
      <w:r>
        <w:t>5.5Â Â Â Â  Nach der Rechtsprechung des EidgenÃ¶ssischen Versicherungsgerichtes stellt die Ergotherapie bei motorischen StÃ¶rungen und bei schwerwiegenden EntwicklungsstÃ¶rungen mit somatischen Auswirkungen, die das Kind im Alltag erheblich beeintrÃ¤chtigen, unter bestimmten Voraussetzungen eine Pflichtleistung der obligatorischen Krankenversicherung dar, wie sich aus den in BGE 130 V 284 und 288 publizierten Urteilen des EVG ergibt. Auch fÃ¼r die Invalidenversicherung kommt die Ergotherapie, wie in Erw. 5.2 dargelegt, als medizinische Massnahme in Betracht, wenn sie zur Verbesserung ungenÃ¼gender Funktionen des Bewegungsapparates dient und auf die Anforderungen der beruflichen Eingliederung ausgerichtet ist (KSME Rz 1015). Es kann daher davon ausgegangen werden, dass eine Ergotherapie in den dafÃ¼r vorgesehenen AnwendungsfÃ¤llen eine nach bewÃ¤hrter Erkenntnis der medizinischen Wissenschaft angezeigte medizinische Massnahme darstellt.</w:t>
      </w:r>
    </w:p>
    <w:p>
      <w:r>
        <w:t>Â Â Â Â Â Â Â Â  Da aus den Berichten des Spitals B.___ hervor geht, dass der Versicherte an fein- und grobmotorischer Ungeschicklichkeit sowie an einer neurologischen AuffÃ¤lligkeit mit einer leichten Tonusdiskrepanz leidet, und dass die beantragte Ergotherapie der FÃ¶rderung der Handfertigkeiten und der Visuomotorik dienen soll (Urk. 7/8/1 S. 3 und Urk. 7/12), und es sich dabei um eine Verbesserung von ungenÃ¼genden Funktionen des Bewegungsapparates handelt, kommt eine Ergotherapie als medizinische Massnahme zu Lasten der Invalidenversicherung grundsÃ¤tzlich in Frage. Zu beachten ist dabei aber, dass medizinische Massnahmen auch bei MinderjÃ¤hrigen nicht in Betracht kommen, wenn eine Therapie von unbeschrÃ¤nkter Dauer oder zumindest Ã¼ber eine lÃ¤ngere Zeit hinweg in Frage steht, bei der sich hinsichtlich des damit erreichbaren Erfolges keine zuverlÃ¤ssige Prognose stellen lÃ¤sst (AHI 2003 S. 106 Erw. 4b; Urteil des EidgenÃ¶ssischen Versicherungsgerichts vom 27. Oktober 2003 in Sachen B., I 484/02 Erw. 3.2). Aufgrund der vorhandenen Arztberichte lÃ¤sst sich jedoch keine zuverlÃ¤ssige Prognose bezÃ¼glich Dauer und Erfolg der beantragten Therapie entnehmen. Zwar wird im Bericht des Spitals B.___ die WeiterfÃ¼hrung der Ergotherapie fÃ¼r ein weiteres Jahr empfohlen (Urk. 7/12). Aus dieser Formulierung kann aber nicht geschlossen werden, dass die Ergotherapie nach einem Jahr nicht mehr weitergefÃ¼hrt werden muss. Ebenso wenig stellt dies eine Prognose Ã¼ber den Erfolg der Therapie dar. Aufgrund der vorhandenen Berichte kann jedoch auch nicht gesagt werden, dass es sich um eine Dauerbehandlung handelt, die nicht in den Leistungsbereich der Invalidenversicherung fÃ¤llt. Es ist durchaus mÃ¶glich, dass sich aufgrund der strittigen Ergotherapie innert nÃ¼tzlicher Frist ein wesentlicher Erfolg einstellen kÃ¶nnte. Auf diese Fragen geben die vorhandenen Berichte keine Auskunft. Der Sachverhalt erweist sich daher als ungenÃ¼gend abgeklÃ¤rt.</w:t>
      </w:r>
    </w:p>
    <w:p>
      <w:r>
        <w:t>6.Â Â Â Â Â Â  Aufgrund des Gesagten ist der angefochtene Einspracheentscheid aufzuheben und die Sache an die IV-Stelle zur nÃ¤heren AbklÃ¤rung im Sinne obiger ErwÃ¤gungen zurÃ¼ckzuweisen. In diesem Sinne ist die Beschwerde gutzuheissen.</w:t>
      </w:r>
    </w:p>
    <w:p>
      <w:r>
        <w:t>Das Gericht erkennt:</w:t>
      </w:r>
    </w:p>
    <w:p>
      <w:r>
        <w:t>1.Â Â Â Â Â Â Â Â  Die Beschwerde wird in dem Sinne gutgeheissen, dass der angefochtene Entscheid vom 8. September 2004 aufgehoben und die Sache an die IV-Stelle zurÃ¼ckgewiesen wird, damit diese nach AbklÃ¤rungen im Sinne der ErwÃ¤gungen Ã¼ber den Anspruch auf Ergotherapie als medizinische Massnahme neu entscheide.</w:t>
      </w:r>
    </w:p>
    <w:p>
      <w:r>
        <w:t>2.Â Â Â Â Â Â Â Â  Das Verfahren ist kostenlos.</w:t>
      </w:r>
    </w:p>
    <w:p>
      <w:r>
        <w:t>3.Â Â Â Â Â Â Â Â  Zustellung gegen Empfangsschein an:</w:t>
      </w:r>
    </w:p>
    <w:p>
      <w:r>
        <w:t>- A.___</w:t>
      </w:r>
    </w:p>
    <w:p>
      <w:r>
        <w:t>- Sozialversicherungsanstalt des Kantons ZÃ¼rich, IV-Stelle</w:t>
      </w:r>
    </w:p>
    <w:p>
      <w:r>
        <w:t>- CSS-Versicherung</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