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IV.2004.00556 vom 29. Januar 2005</w:t>
      </w:r>
    </w:p>
    <w:p>
      <w:r>
        <w:t>ZH Sozialversicherungsgericht, 2005-01-29, DE</w:t>
      </w:r>
    </w:p>
    <w:p>
      <w:r>
        <w:rPr>
          <w:b/>
        </w:rPr>
        <w:t xml:space="preserve">Quelle: </w:t>
      </w:r>
      <w:r>
        <w:t>https://mcp.opencaselaw.ch/entscheid/zh_sozialversicherungsgericht_IV.2004.00556</w:t>
      </w:r>
    </w:p>
    <w:p>
      <w:r>
        <w:t>FR: ZH_SOZIALVERSICHERUNGSGERICHT IV.2004.00556 du 29 janvier 2005</w:t>
      </w:r>
    </w:p>
    <w:p>
      <w:r>
        <w:t>IT: ZH_SOZIALVERSICHERUNGSGERICHT IV.2004.00556 del 29 gennaio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Prozent, auf eine halbe Rente, wenn sie mindestens zu 50 Prozent oder auf eine Viertelsrente, wenn sie mindestens zu 40 Prozent invalid sind. In HÃ¤rtefÃ¤llen besteht gemÃ¤ss Art. 28 Abs. 1 bis IVG bereits bei einem InvaliditÃ¤tsgrad von mindestens 40 Prozent Anspruch auf eine halbe Rente. Die seit dem 1. Januar 2004 massgeblichen neuen Rentenabstufungen geben bei einem InvaliditÃ¤tsgrad von mindestens 40 Prozent Anspruch auf eine Viertelsrente, bei einem InvaliditÃ¤tsgrad von mindestens 50 Prozent Anspruch auf eine halbe Rente, bei einem InvaliditÃ¤tsgrad von mindestens 60 Prozent Anspruch auf eine Dreiviertelsrente und bei einem InvaliditÃ¤tsgrad von mindestens 70 Prozent Anspruch auf eine ganze Rente (Art. 28 Abs. 1 IVG in der seit dem 1. Januar 2004 in Kraft stehenden Fassung).</w:t>
      </w:r>
    </w:p>
    <w:p>
      <w:r>
        <w:t>2.2Â Â Â Â  Bei erwerbstÃ¤tigen Versicherten ist der InvaliditÃ¤tsgrad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vgl. BGE 128 V 30 Erw. 1, 104 V 136 Erw. 2a und b).</w:t>
      </w:r>
    </w:p>
    <w:p>
      <w:r>
        <w:t>Â Â Â Â Â Â Â Â  Bei nichterwerbstÃ¤tigen Versicherten - so namentlich bei im Haushalt tÃ¤tigen Versicherten - wird fÃ¼r die Bemessung der InvaliditÃ¤t darauf abgestellt, in welchem Masse sie behindert sind, sich im bisherigen Aufgabenbereich zu betÃ¤tigen (Art. 28 Abs. 3 IVG in Verbindung mit Art. 26 bis und 27 IVV; spezifische Methode; BGE 130 V 99 Erw. 3.3.1, 104 V 136 Erw. 2a; AHI 1997 S. 291 Erw. 4a). Als Aufgabenbereich der im Haushalt tÃ¤tigen, nicht erwerbstÃ¤tigen Personen gilt unter anderem die Ã¼bliche TÃ¤tigkeit im Haushalt und die Erziehung der Kinder (Art. 27 IVV).</w:t>
      </w:r>
    </w:p>
    <w:p>
      <w:r>
        <w:t>Â Â Â Â Â Â Â Â Bei Versicherten, die nur zum Teil erwerbstÃ¤tig sind, wird fÃ¼r diesen Teil die InvaliditÃ¤t nach Art. 28 Abs. 2 IVG (seit 1. Januar 2003 Art. 16 ATSG) festgelegt. Waren sie daneben in einem Aufgabenbereich nach Art. 5 Abs. 1 IVG (seit 1. Januar 2003 in Verbindung mit Art. 8 Abs. 3 ATSG) tÃ¤tig, so wird die InvaliditÃ¤t fÃ¼r diese TÃ¤tigkeit nach Art. 27 IVV festgelegt. In diesem Falle sind der Anteil der ErwerbstÃ¤tigkeit und der Anteil der TÃ¤tigkeit im andern Aufgabenbereich festzulegen und der InvaliditÃ¤tsgrad entsprechend der Behinderung in beiden Bereichen zu bemessen (Art. 27 bis IVV; gemischte Methode der InvaliditÃ¤tsbemessung). Demnach ist einerseits die InvaliditÃ¤t im Aufgabenbereich gemÃ¤ss Art. 5 Abs. 1 IVG (seit 1. Januar 2003 in Verbindung mit Art. 8 Abs. 3 ATSG) nach dem BetÃ¤tigungsvergleich (Art. 27 IVV) und anderseits die InvaliditÃ¤t im erwerblichen Bereich nach dem Einkommensvergleich (Art. 28 IVG; seit 1. Januar 2003 Art. 16 ATSG) zu ermitteln und danach die GesamtinvaliditÃ¤t nach Massgabe der zeitlichen Beanspruchung in den genannten beiden Bereichen zu berechnen.</w:t>
      </w:r>
    </w:p>
    <w:p>
      <w:r>
        <w:t>3.Â Â Â Â Â Â  Die Beschwerdegegnerin ging davon aus, dass die BeschwerdefÃ¼hrerin ohne Gesundheitsschaden als kaufmÃ¤nnische Angestellte tÃ¤tig wÃ¤re (Urk. 7/6 und Urk. 7/5). BezÃ¼glich des Arbeitspensums hielt sie fest, die BeschwerdefÃ¼hrerin habe an ihrer letzten Stelle wÃ¤hrend 80 Stunden pro Woche gearbeitet (Urk. 7/6). Dabei handelt es sich jedoch um eine Fehlannahme, da die Arbeitszeit gemÃ¤ss Arbeitgeberbericht vom 6. Januar 2004 (Urk. 7/10) 80 Stunden pro Monat betragen hat, was ungefÃ¤hr einem 50%-Pensum entspricht. Dem Arbeitgeberbericht ist auch zu entnehmen, dass das ArbeitsverhÃ¤ltnis aufgrund des Verkaufs des GeschÃ¤ftes per Ende April 2001 beendet wurde, was in keinem Zusammenhang mit der Erkrankung der BeschwerdefÃ¼hrerin ab Juli 2001 stand.</w:t>
      </w:r>
    </w:p>
    <w:p>
      <w:r>
        <w:t>Â Â Â Â Â Â Â Â  Demzufolge war die BeschwerdefÃ¼hrerin zum Zeitpunkt der Erkrankung nicht mehr berufstÃ¤tig. In der Anmeldung zum Bezug einer Invalidenrente gab sie auch als HauptbeschÃ¤ftigung an, Hausfrau zu sein (Urk. 7/18 Ziff. 6.4). Ihren Beruf als kaufmÃ¤nnische Angestellte fÃ¼hrte sie lediglich unter NebenbeschÃ¤ftigungen auf (Urk. 7/18 Ziff. 6.5). Im Schreiben vom 24. September 2003 an die IV-Stelle (Urk. 7/16) erklÃ¤rte die BeschwerdefÃ¼hrerin, sie hÃ¤tte wieder mehr arbeiten wollen, jedoch wegen ihrer Krankheit seit dem Jahr 2002 keiner geregelten Arbeit mehr nachgehen kÃ¶nnen.</w:t>
      </w:r>
    </w:p>
    <w:p>
      <w:r>
        <w:t>Â Â Â Â Â Â Â Â  Die Annahme der Beschwerdegegnerin, die BeschwerdefÃ¼hrerin sei voll erwerbstÃ¤tig gewesen, beruht auf einem offensichtlichen Fehler. Weitere AbklÃ¤rungen zur Aufteilung HaushaltstÃ¤tigkeit/ErwerbstÃ¤tigkeit hat die Beschwerdegegnerin nicht veranlasst. Es bestehen keine Angaben, in welchem Umfang die BeschwerdefÃ¼hrerin ohne Gesundheitsschaden erwerbstÃ¤tig wÃ¤re, und auch aufgrund der vorhandenen Akten kann diese Frage nicht mit Ã¼berwiegender Wahrscheinlichkeit beantwortet werden. In diesem Punkt erweist sich der Sachverhalt als nicht genÃ¼gend abgeklÃ¤rt, weshalb die Sache bereits aus diesem Grund an die IV-Stelle zurÃ¼ckzuweisen ist.</w:t>
      </w:r>
    </w:p>
    <w:p>
      <w:r>
        <w:rPr>
          <w:b/>
        </w:rPr>
        <w:t>E. 4</w:t>
      </w:r>
    </w:p>
    <w:p>
      <w:r>
        <w:t>4.1Â Â Â Â  GemÃ¤ss Bericht des Spitals B.___, Departement fÃ¼r Innere Medizin, vom 25. Juli 2001 (Urk. 7/9/2) litt die BeschwerdefÃ¼hrerin Anfang Juli 2001 unter rascher ErmÃ¼dbarkeit und Schwindel bei Anstrengung. Ihr GynÃ¤kologe habe daraufhin eine massive Leukozytose (Vermehrung der weissen BlutkÃ¶rperchen) und eine Splenomegalie (VergrÃ¶sserung der Milz) festgestellt und sie wegen Verdachts auf LeukÃ¤mie ins Spital B.___ eingewiesen, wo sie vom 20. bis 23. Juli 2001 hospitalisiert war. Dort wurde eine chronische myeloische LeukÃ¤mie diagnostiziert und mit einer Chemotherapie (Litalir) begonnen.</w:t>
      </w:r>
    </w:p>
    <w:p>
      <w:r>
        <w:t>4.2Â Â Â Â  Prof. A.___ fÃ¼hrte in seinem Bericht vom 27. Oktober 2003 (Urk. 7/9/1) aus, die BeschwerdefÃ¼hrerin sei vom 10. Dezember 2001 bis 18. Dezember 2002 mit Interferon (Chemotherapie) behandelt worden. Dabei habe sie unter grippalen Symptomen, MÃ¼digkeit und AdynÃ¤mie gelitten. Zudem seien ein Gewichtsverlust und Haarausfall eingetreten. Nach der Umstellung auf Glivec hÃ¤tten sich Haarwuchs und Gewicht wieder normalisiert. Die BeschwerdefÃ¼hrerin sei jedoch rascher erschÃ¶pft als vor der Erkrankung. Vom 30. Juli bis 30. August 2001 sei sie als Mitarbeiterin in der Administration im Betrieb des Ehegatten zu 100 % und vom 31. August 2001 bis 13. Dezember 2002 zu 20 % arbeitsunfÃ¤hig gewesen. Seit Ende Februar 2003 sei ihr in ihrem bisherigen Beruf eine ErwerbstÃ¤tigkeit von zirka 30 Stunden pro Woche zumutbar. Das Ausmass der BeeintrÃ¤chtigung bei der ErwerbstÃ¤tigkeit und als Mutter von zwei schulpflichtigen Kindern kÃ¶nne er schlecht bewerten. Vorstellbar sei, dass die BeschwerdefÃ¼hrerin wegen der Therapie gewisse EinschrÃ¤nkungen erleide. Deshalb schlage er eine unabhÃ¤ngige Ã¤rztliche Beurteilung vor.</w:t>
      </w:r>
    </w:p>
    <w:p>
      <w:r>
        <w:t>Â Â Â Â Â Â Â Â  Im Bericht vom 13. Juli 2004 erklÃ¤rte Prof. A.___, dass nach neun Monaten Therapie mit Glivec eine zytogenetische und molekularbiologische Remission feststellbar und das Philadelphia-Chromosom nicht mehr nachweisbar seien. Eine Fortsetzung der medikamentÃ¶sen Therapie (Glivec) sei jedoch unerlÃ¤sslich. Die ArbeitsfÃ¤higkeit habe sich tendenziell eher etwas verbessert. Die BeschwerdefÃ¼hrerin klage jedoch unverÃ¤ndert Ã¼ber MÃ¼digkeit und rasche ErschÃ¶pfbarkeit. Seit zirka Januar 2002 bestehe eine 25%ige ArbeitsunfÃ¤higkeit. Es sei fÃ¼r ihn als Betreuer jedoch schwierig, die ArbeitsfÃ¤higkeit zu bemessen. Daher wÃ¤re eine externe Beurteilung nÃ¼tzlich und aufschlussreich.</w:t>
      </w:r>
    </w:p>
    <w:p>
      <w:r>
        <w:rPr>
          <w:b/>
        </w:rPr>
        <w:t>E. 5</w:t>
      </w:r>
    </w:p>
    <w:p>
      <w:r>
        <w:t>5.1Â Â Â Â  Die Beschwerdegegnerin stellt sich auf den Standpunkt, dass die BeschwerdefÃ¼hrerin gemÃ¤ss Prof. A.___ lediglich zu 25 % arbeitsunfÃ¤hig sei, weshalb die erwerblichen Einbussen keine HÃ¶he erreichten, die einen Anspruch auf eine Invalidenrente begrÃ¼nden kÃ¶nnten (Urk. 2 S. 3 und Urk. 7/2 S. 2).</w:t>
      </w:r>
    </w:p>
    <w:p>
      <w:r>
        <w:t>5.2Â Â Â Â  Prof. A.___ hielt sowohl im Bericht vom 27. Oktober 2003 (Urk. 7/9/1) als auch in jenem vom 13. Juli 2004 (Urk. 7/8) fest, es sei fÃ¼r ihn als behandelnden ArztÂ  schwierig, die ArbeitsfÃ¤higkeit einzuschÃ¤tzen, weshalb er eine externe Beurteilung empfehle. Es kann deshalb nicht ohne weiteres auf seine Beurteilung abgestellt werden.</w:t>
      </w:r>
    </w:p>
    <w:p>
      <w:r>
        <w:t>Â Â Â Â Â Â Â Â  Zudem finden sich in den vorhandenen Berichten keine Angaben Ã¼ber das Ausmass der EinschrÃ¤nkung der BeschwerdefÃ¼hrerin in der TÃ¤tigkeit als Hausfrau und Mutter. Prof. A.___ bemerkte, dass die BeschwerdefÃ¼hrerin in psychischer Hinsicht wegen rascher ErmÃ¼dung im KonzentrationsvermÃ¶gen und wegen der AnÃ¤mie in der Belastbarkeit eingeschrÃ¤nkt sei (Urk. 7/9/1). Auch im Haushaltsbereich ist deshalb eine EinschrÃ¤nkung der LeistungsfÃ¤higkeit durchaus mÃ¶glich.</w:t>
      </w:r>
    </w:p>
    <w:p>
      <w:r>
        <w:t>Â Â Â Â Â Â Â Â  Da aussagekrÃ¤ftige Arztberichte weder bezÃ¼glich ArbeitsfÃ¤higkeit in der ErwerbstÃ¤tigkeit noch bezÃ¼glich der BetÃ¤tigung im Haushalt vorhanden sind, erweist sich der Sachverhalt auch in medizinischer Hinsicht als ungenÃ¼gend abgeklÃ¤rt.</w:t>
      </w:r>
    </w:p>
    <w:p>
      <w:r>
        <w:t>5.3Â Â Â Â  Nach dem Gesagten ist die Sache an die Beschwerdegegnerin zurÃ¼ckzuweisen, damit sie abklÃ¤re, in welchem Umfang die BeschwerdefÃ¼hrerin ohne Gesundheitsschaden erwerbstÃ¤tig beziehungsweise im Haushalt tÃ¤tig wÃ¤re. Anschliessend ist bezÃ¼glich des Umfangs der ArbeitsfÃ¤higkeit in der ErwerbstÃ¤tigkeit und in der HaushaltstÃ¤tigkeit eine medizinische AbklÃ¤rung zu veranlassen. Gegebenenfalls ist die EinschrÃ¤nkung in der HaushaltstÃ¤tigkeit an Ort und Stelle aufgrund der konkreten Begebenheiten abzuklÃ¤ren. Schliesslich hat die Beschwerdegegnerin Ã¼ber den Anspruch der BeschwerdefÃ¼hrerin auf eine Invalidenrente neu zu verfÃ¼gen. Dies fÃ¼hrt zur Gutheissung der Beschwerde.</w:t>
      </w:r>
    </w:p>
    <w:p>
      <w:r>
        <w:t>Das Gericht erkennt:</w:t>
      </w:r>
    </w:p>
    <w:p>
      <w:r>
        <w:t>1.Â Â Â Â Â Â Â Â  In Gutheissung der Beschwerde wird der angefochtene Einspracheentscheid vom 29. Juli 2004 aufgehoben und die Sache wird an die Sozialversicherungsanstalt des Kantons ZÃ¼rich, IV-Stelle, zurÃ¼ckgewiesen, damit diese, nach erfolgter AbklÃ¤rung im Sinne der ErwÃ¤gungen, Ã¼ber den Anspruch der BeschwerdefÃ¼hrerin auf eine Invalidenrente neu verfÃ¼ge.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P.___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