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IV.2004.00419 vom 27. Oktober 2004</w:t>
      </w:r>
    </w:p>
    <w:p>
      <w:r>
        <w:t>ZH Sozialversicherungsgericht, 2004-10-27, DE</w:t>
      </w:r>
    </w:p>
    <w:p>
      <w:r>
        <w:rPr>
          <w:b/>
        </w:rPr>
        <w:t xml:space="preserve">Quelle: </w:t>
      </w:r>
      <w:r>
        <w:t>https://mcp.opencaselaw.ch/entscheid/zh_sozialversicherungsgericht_IV.2004.00419</w:t>
      </w:r>
    </w:p>
    <w:p>
      <w:r>
        <w:t>FR: ZH_SOZIALVERSICHERUNGSGERICHT IV.2004.00419 du 27 octobre 2004</w:t>
      </w:r>
    </w:p>
    <w:p>
      <w:r>
        <w:t>IT: ZH_SOZIALVERSICHERUNGSGERICHT IV.2004.00419 del 27 ottobre 2004</w:t>
      </w:r>
    </w:p>
    <w:p>
      <w:pPr>
        <w:pStyle w:val="Heading2"/>
      </w:pPr>
      <w:r>
        <w:t>Erwägungen</w:t>
      </w:r>
    </w:p>
    <w:p>
      <w:r>
        <w:rPr>
          <w:b/>
        </w:rPr>
        <w:t>E. 3</w:t>
      </w:r>
    </w:p>
    <w:p>
      <w:r>
        <w:t>3.1Â Â Â Â  Der Anspruch auf Eingliederungsmassnahmen nach Art. 8 Abs. 1 IVG - und somit auch derjenige auf erstmalige berufliche Ausbildung gemÃ¤ss Art. 16 IVG - setzt die subjektive Eingliederungsbereitschaft der versicherten Person voraus (AHI 2002 S. 108; ZAK 1991 S. 180; Urteile M. vom 2. Dezember 2003, I 720/02, Erw. 2.1, und B. vom 26. September 2002, I 341/02, Erw. 2.1). Art. 10 Abs. 2 IVG sieht ferner vor, dass die anspruchsberechtigte Person verpflichtet ist, die DurchfÃ¼hrung der Massnahmen, die zu ihrer Eingliederung ins Erwerbsleben getroffen werden, zu erleichtern. Die Versicherung kann ihre Leistungen einstellen, wenn der Anspruchsberechtigte die Eingliederung erschwert oder verunmÃ¶glicht. Nach der Rechtsprechung ist die Einstellung der Leistungen im Sinne von Art. 10 Abs. 2 IVG, welche Eingliederungsmassnahmen und Taggelder umfassen, allerdings erst nach durchgefÃ¼hrtem Mahn- und Bedenkzeitverfahren im Sinne von Art. 43 Abs. 3 ATSG zulÃ¤ssig. GemÃ¤ss dieser Gesetzesbestimmung kann die Verweigerung oder der Entzug der Leistung erst verfÃ¼gt werden, wenn die Verwaltung die versicherte Person vorgÃ¤ngig durch eine schriftliche Mahnung und unter EinrÃ¤umung einer angemessenen Bedenkzeit auf die Folgen ihrer Widersetzlichkeit aufmerksam gemacht hat. Die Sanktion muss in gehÃ¶riger Form und unter Fristansetzung angekÃ¼ndigt werden. Dieses Mahn- und Bedenkzeitverfahren kann nicht durch einen blossen (in die AblehnungsverfÃ¼gung aufgenommenen) Hinweis auf die MÃ¶glichkeit einer spÃ¤teren Neuanmeldung ersetzt werden (BGE 122 V 218 mit Hinweisen).</w:t>
      </w:r>
    </w:p>
    <w:p>
      <w:r>
        <w:t>Â Â Â Â Â Â Â Â  Sinn und Zweck von Art. 43 Abs. 3 ATSG ist es, die versicherte Person in jedem Fall auf die mÃ¶glichen nachteiligen Folgen ihres Widerstandes aufmerksam zu machen und sie so in die Lage zu versetzen, in Kenntnis aller wesentlichen Faktoren ihre Entscheidung zu treffen. Das Mahn- und Bedenkzeitverfahren ist sogar dann durchzufÃ¼hren, wenn eine versicherte Person eine konkrete, erfolgversprechende und zumutbare Eingliederungsmassnahme unmissverstÃ¤ndlich ablehnt (BGE 122 V 220).</w:t>
      </w:r>
    </w:p>
    <w:p>
      <w:r>
        <w:t>3.2Â Â Â Â  Die Berufsberaterin hielt im Verlaufsprotokoll vom 22. April 2004 fest, ein BerufsfÃ¶rderungskurs sei unbedingt erforderlich. Eine erstmalige berufliche Ausbildung sei bei einer 40-jÃ¤hrigen eine grosse Ausnahme. Die BeschwerdefÃ¼hrerin habe noch in keiner TÃ¤tigkeit ein Erwerbseinkommen erzielt. Die Vorstellung von der TÃ¤tigkeit als MusikpÃ¤dagogin erscheine stark idealisiert. GemÃ¤ss dem Bericht von Dr. med. A.___, Spezialarzt FMH fÃ¼r Psychiatrie und Psychotherapie, vom 27. Dezember 2003 (Urk. 6/9) sei es der BeschwerdefÃ¼hrerin nicht mÃ¶glich, sich in Gruppen oder hierarchischen Systemen einzuordnen. Die BeschwerdefÃ¼hrerin kÃ¶nne bei anhaltender Stabilisierung und bei Ausbildungserfolg schÃ¤tzungsweise 30 bis maximal 50 % als Musiklehrerin arbeiten und dadurch rentenunabhÃ¤ngig werden. Sie werde nie voll arbeiten kÃ¶nnen. Die BeschwerdefÃ¼hrerin habe am 14. April 2004 mitgeteilt, dass eine AbklÃ¤rung im Musikbereich stattfinden sollte (Befragung einer frÃ¼heren MusikschÃ¼lerin). Die Berufsberaterin fÃ¼hrte weiter aus, dass sie wÃ¤hrend des Beratungsprozesses ganz stark den Eindruck gehabt habe, dass die BeschwerdefÃ¼hrerin sich mit viel Motivation mit Musik auseinandersetzen mÃ¶chte, dass sie das Thema Eingliederung jedoch mehr als zweitrangig erachte (Urk. 6/16 S. 6).</w:t>
      </w:r>
    </w:p>
    <w:p>
      <w:r>
        <w:t>3.3Â Â Â Â  Aus der Aktenlage, insbesondere auch aus dem Verlaufsprotokoll vom 22. April 2004 ist nicht ersichtlich, dass die Beschwerdegegnerin die BeschwerdefÃ¼hrerin auf die Folgen hingewiesen hat, die eintreten, wenn sie den BerufsfÃ¶rderungskurs nicht besuche. Die Beschwerdegegnerin hat die BeschwerdefÃ¼hrerin auch nicht unter Fristansetzung aufgefordert, den BerufsfÃ¶rderungskurs zu besuchen. Ein Mahn- und Bedenkzeitverfahren wurde demnach nicht durchgefÃ¼hrt. Dies schliesst die Verweigerung des Anspruchs auf erstmalige berufliche Ausbildung aus.</w:t>
      </w:r>
    </w:p>
    <w:p>
      <w:r>
        <w:t>Â Â Â Â Â Â Â Â  Der angefochtene Einspracheentscheid vom 28. Mai 2004 ist deshalb aufzuheben und die Sache ist an die IV-Stelle zurÃ¼ckzuweisen, damit sie das Mahn- und Bedenkzeitverfahren nachholen kann. Sollte sich die BeschwerdefÃ¼hrerin weiterhin weigern, den BerufsfÃ¶rderungskurs zu besuchen, so fÃ¼hrte dies nicht ohne weiteres zur Gesuchsabweisung. Viel mehr wÃ¤re dann aufgrund der Akten materiell Ã¼ber das Gesuch zu entscheiden. Dabei ist zu beachten, dass allenfalls weitere AbklÃ¤rungen notwendig sind, um die Anspruchsvoraussetzungen der Eingliederungswirksamkeit und der Geeignetheit der erstmaligen beruflichen Ausbildung als Musiklehrerin beurteilen zu kÃ¶nnen.</w:t>
      </w:r>
    </w:p>
    <w:p>
      <w:r>
        <w:t>4.Â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w:t>
      </w:r>
    </w:p>
    <w:p>
      <w:r>
        <w:t>Â Â Â Â Â Â Â Â  Diese wird ohne RÃ¼cksicht auf den Streitwert nach der Bedeutung der Streitsache und nach dem Schwierigkeitsgrad des Prozesses bemessen.</w:t>
      </w:r>
    </w:p>
    <w:p>
      <w:r>
        <w:t>Â Â Â Â Â Â Â Â  Vorliegend erscheint eine EntschÃ¤digung im Betrag von Fr. 900.-- (inkl. Mehrwertsteuer und Barauslagen) als angemessen.</w:t>
      </w:r>
    </w:p>
    <w:p>
      <w:r>
        <w:t>Das Gericht erkennt:</w:t>
      </w:r>
    </w:p>
    <w:p>
      <w:r>
        <w:t>1.Â Â Â Â Â Â Â Â  Die Beschwerde wird in dem Sinne gutgeheissen, dass der Einspracheentscheid vom 28. Mai 2004 aufgehoben und die Sache an die IV-Stelle zurÃ¼ckgewiesen wird, damit sie im Sinne der ErwÃ¤gungen verfahre und hernach Ã¼ber den Anspruch der BeschwerdefÃ¼hrerin auf erstmalige berufliche Ausbildung neu verfÃ¼ge.</w:t>
      </w:r>
    </w:p>
    <w:p>
      <w:r>
        <w:t>2.Â Â Â Â Â Â Â Â  Das Verfahren ist kostenlos.</w:t>
      </w:r>
    </w:p>
    <w:p>
      <w:r>
        <w:t>3.Â Â Â Â Â Â Â Â  Die Beschwerdegegnerin wird verpflichtet, der BeschwerdefÃ¼hrerin eine ProzessentschÃ¤digung von Fr. 900.-- (inkl. Mehrwertsteuer und Barauslagen) zu bezahlen.</w:t>
      </w:r>
    </w:p>
    <w:p>
      <w:r>
        <w:t>4.Â Â Â Â Â Â Â Â  Zustellung gegen Empfangsschein an:</w:t>
      </w:r>
    </w:p>
    <w:p>
      <w:r>
        <w:t>- Pro Infirmis</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