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IV.2004.00372 vom 17. März 2005</w:t>
      </w:r>
    </w:p>
    <w:p>
      <w:r>
        <w:t>ZH Sozialversicherungsgericht, 2005-03-17, DE</w:t>
      </w:r>
    </w:p>
    <w:p>
      <w:r>
        <w:rPr>
          <w:b/>
        </w:rPr>
        <w:t xml:space="preserve">Quelle: </w:t>
      </w:r>
      <w:r>
        <w:t>https://mcp.opencaselaw.ch/entscheid/zh_sozialversicherungsgericht_IV.2004.00372</w:t>
      </w:r>
    </w:p>
    <w:p>
      <w:r>
        <w:t>FR: ZH_SOZIALVERSICHERUNGSGERICHT IV.2004.00372 du 17 mars 2005</w:t>
      </w:r>
    </w:p>
    <w:p>
      <w:r>
        <w:t>IT: ZH_SOZIALVERSICHERUNGSGERICHT IV.2004.00372 del 17 marzo 2005</w:t>
      </w:r>
    </w:p>
    <w:p>
      <w:pPr>
        <w:pStyle w:val="Heading2"/>
      </w:pPr>
      <w:r>
        <w:t>Erwägungen</w:t>
      </w:r>
    </w:p>
    <w:p>
      <w:r>
        <w:rPr>
          <w:b/>
        </w:rPr>
        <w:t>E. 5</w:t>
      </w:r>
    </w:p>
    <w:p>
      <w:r>
        <w:t>5.1Â Â Â Â  Sollte eine KostenÃ¼bernahme gestÃ¼tzt auf Art. 13 IVG zu verneinen sein, bliebe noch zu prÃ¼fen, ob die Invalidenversicherung nach Art. 12 IVG in Verbindung mit Art. 5 Abs. 2 IVG und Art. 8 Abs. 2 ATSG fÃ¼r medizinische Massnahmen leistungspflichtig ist. Die Beschwerdegegnerin hat die entsprechenden Voraussetzungen nicht im einzelnen geprÃ¼ft. Sie hielt in der VerfÃ¼gung vom 21. Oktober 2003 lediglich fest, dass die Voraussetzungen nicht erfÃ¼llt seien (vgl. Urk. 7/8). Im Einspracheentscheid vom 10. Mai 2004 (Urk. 2) erfolgten zwar allgemeine AusfÃ¼hrungen zu Art. 12 IVG, es wurde aber nicht ausgefÃ¼hrt, weshalb im konkreten Fall die entsprechenden Voraussetzungen nicht erfÃ¼llt sein sollen.</w:t>
      </w:r>
    </w:p>
    <w:p>
      <w:r>
        <w:t>5.2Â Â Â Â  Die versicherte Person hat gemÃ¤ss Art. 12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Nicht erwerbstÃ¤tige Personen vor dem vollendeten 20. Altersjahr gelten als invalid, wenn die BeeintrÃ¤chtigung ihrer kÃ¶rperlichen oder geistigen Gesundheit voraussichtlich eine ganze oder teilweise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5.3Â Â Â Â  Die am 19. Juli 1994 geborene BeschwerdefÃ¼hrerin hat das 20. Altersjahr noch nicht vollendet, und es ist denkbar, dass ihr aktenkundiger Gesundheitsschaden eine ErwerbsunfÃ¤higkeit zur Folge haben wird. Aus den vorhandenen medizinischen Unterlagen geht jedoch nichts Genaueres darÃ¼ber hervor, ob und gegebenenfalls wie sich die gesundheitliche StÃ¶rung auf ihre zukÃ¼nftige ErwerbsfÃ¤higkeit beziehungsweise Berufsbildung auswirken wird. Damit kÃ¶nnte aber - sollte eine PrÃ¼fung nach Art. 12 IVG erforderlich sein - nicht beurteilt werden, ob ohne die anbegehrten Massnahmen eine Heilung mit Defekt oder ein sonstwie stabilisierter Zustand im Sinne der zitierten Rechtsprechung einzutreten drohte und ob eine zeitlich unbegrenzte Vorkehr in Frage steht (vgl. Erw. 5.2 hievor). Auch in diesem Punkt erweisen sich demnach weitere medizinische AbklÃ¤rungen als notwendig.</w:t>
      </w:r>
    </w:p>
    <w:p>
      <w:r>
        <w:t>6.Â Â Â Â Â Â  Zusammenfassend ist die Sache an die Beschwerdegegnerin zu weiteren AbklÃ¤rungen zurÃ¼ckzuweisen. So wird in einem ersten Schritt abzuklÃ¤ren sein, ob die dem POS zugeordneten StÃ¶rungen zum Symptomkreis des Geburtsgebrechens Ziff. 387 Anhang gehÃ¶ren. Bejahendenfalls wÃ¤re eine LeistungsÃ¼bernahme nach Art. 13 IVG im Zusammenhang mit dem Geburtsgebrechen Ziff. 387 GgV Anhang zu prÃ¼fen (vgl. Erw. 4.1). Ist die Frage zu verneinen, bliebe weiter abzuklÃ¤ren, ob eine Pflicht zur LeistungsÃ¼bernahme unter dem Titel von Art. 12 IVG in Verbindung mit Art. 5 Abs. 2 IVG besteht, wozu ebenfalls ergÃ¤nzende AbklÃ¤rungen notwendig wÃ¤ren (vgl. Erw. 5.3). Hinsichtlich der anbegehrten Massnahmen wenden die Eltern der BeschwerdefÃ¼hrerin schliesslich zu Recht ein, dass die von der Beschwerdegegnerin im Einspracheentscheid geprÃ¼fte Massnahme ("Psychomotoriktherapie") nicht mit der Anmeldung vom 8. Juli 2003 Ã¼bereinstimmt, wonach unter den anbegehrten beziehungsweise vorgesehenen Massnahmen die Psychotherapie, evtl. med. Therapie, evtl. Ergotheraphie genannt wurde (vgl. Urk. 7/18). Auch hinsichtlich der beantragten Massnahmen erweisen sich RÃ¼ckfragen demnach als unerlÃ¤sslich.</w:t>
      </w:r>
    </w:p>
    <w:p>
      <w:r>
        <w:t>Â Â Â Â Â Â Â Â  In diesem Sinne ist die Beschwerde gutzuheissen.</w:t>
      </w:r>
    </w:p>
    <w:p>
      <w:r>
        <w:t>Das Gericht erkennt:</w:t>
      </w:r>
    </w:p>
    <w:p>
      <w:r>
        <w:t>1.Â Â Â Â Â Â Â Â  Die Beschwerde wird in dem Sinne gutgeheissen, dass der Einspracheentscheid der Sozialversicherungsanstalt des Kantons ZÃ¼rich, IV-Stelle, vom 10. Mai 2004 aufgehoben und die Sache an die IV-Stelle zurÃ¼ckgewiesen wird, damit sie im Sinne der ErwÃ¤gungen verfahre und hernach Ã¼ber den Anspruch auf medizinische Massnahmen neu verfÃ¼ge.</w:t>
      </w:r>
    </w:p>
    <w:p>
      <w:r>
        <w:t>2.Â Â Â Â Â Â Â Â  Das Verfahren ist kostenlos.</w:t>
      </w:r>
    </w:p>
    <w:p>
      <w:r>
        <w:t>3.Â Â Â Â Â Â Â Â  Zustellung gegen Empfangsschein an:</w:t>
      </w:r>
    </w:p>
    <w:p>
      <w:r>
        <w:t>- die Eltern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