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IV.2004.00368 vom 3. September 2004</w:t>
      </w:r>
    </w:p>
    <w:p>
      <w:r>
        <w:t>ZH Sozialversicherungsgericht, 2004-09-03, DE</w:t>
      </w:r>
    </w:p>
    <w:p>
      <w:r>
        <w:rPr>
          <w:b/>
        </w:rPr>
        <w:t xml:space="preserve">Quelle: </w:t>
      </w:r>
      <w:r>
        <w:t>https://mcp.opencaselaw.ch/entscheid/zh_sozialversicherungsgericht_IV.2004.00368</w:t>
      </w:r>
    </w:p>
    <w:p>
      <w:r>
        <w:t>FR: ZH_SOZIALVERSICHERUNGSGERICHT IV.2004.00368 du 3 septembre 2004</w:t>
      </w:r>
    </w:p>
    <w:p>
      <w:r>
        <w:t>IT: ZH_SOZIALVERSICHERUNGSGERICHT IV.2004.00368 del 3 settembre 2004</w:t>
      </w:r>
    </w:p>
    <w:p>
      <w:pPr>
        <w:pStyle w:val="Heading2"/>
      </w:pPr>
      <w:r>
        <w:t>Erwägungen</w:t>
      </w:r>
    </w:p>
    <w:p>
      <w:r>
        <w:rPr>
          <w:b/>
        </w:rPr>
        <w:t>E. 3</w:t>
      </w:r>
    </w:p>
    <w:p>
      <w:r>
        <w:t>3.1Â Â Â Â  Zur Frage, inwieweit TarifvertrÃ¤ge (und insbesondere die darin festgelegten HÃ¶chstbetrÃ¤ge) bei der Beurteilung eines einzelnen Leistungsanspruchs zu berÃ¼cksichtigen sind, hat sich das EidgenÃ¶ssische Versicherungsgericht im Zusammenhang mit dem zwischen der IV/AHV, vertreten durch das BSV einerseits und den jeweiligen auf der Lieferantenliste figurierenden Akustik-GeschÃ¤ften andererseits abgeschlossenen Tarifvertrag fÃ¼r die HÃ¶rgerÃ¤teabgabe in einem Grundsatzentscheid unlÃ¤ngst wie folgt geÃ¤ussert (Urteil der I. Kammer des EidgenÃ¶ssischen Versicherungsgerichts in Sachen L. vom 9. Januar 2004, I 281/02):</w:t>
      </w:r>
    </w:p>
    <w:p>
      <w:r>
        <w:t>Â Â Â Â Â Â Â Â "Entscheidender Gesichtspunkt fÃ¼r die Beantwortung dieser Frage bildet dabei, dass die Ausgestaltung des Tarifvertrages im Einklang mit den normativen Anspruchsvoraussetzungen der HÃ¶rgerÃ¤teversorgung steht, wie sie in Art. 21 Abs. 3 IVG, Art. 2 Abs. 4 HVI und Ziff. 5.07 HVIÂ  AnhangÂ  in Verbindung mit Art. 8 Abs. 1 IVG umschrieben sind.</w:t>
      </w:r>
    </w:p>
    <w:p>
      <w:r>
        <w:t>Â Â Â Â Â Â Â Â Â Â  In erster Linie geht es um den in Art. 21 Abs. 3 IVG verankerten und in Art. 2 Abs. 4 HVI wiederholten Grundsatz der Einfachheit und ZweckmÃ¤ssigkeit der Hilfsmittelversorgung. Von Bedeutung sind aber auch die allgemeinen Anspruchsvoraussetzungen der Geeignetheit, Erforderlichkeit und Eingliederungswirksamkeit gemÃ¤ss Art. 8 IVG, denen die HÃ¶rgerÃ¤teversorgung unterliegt (vgl. BGE 129 V 67 Erw. 1.1.1). So hat eine versicherte Person nicht auf die nach den gegebenen UmstÃ¤nden bestmÃ¶glichen Vorkehren Anspruch, sondern in der Regel nur auf die dem jeweiligen Eingliederungszweck angemessenen, notwendigen Massnahmen, da das Gesetz die Eingliederung lediglich soweit sicherstellen will, als diese im Einzelfall notwendig, aber auch genÃ¼gend ist (BGE 124 V 110 Erw. 2a, 122 V 214 Erw. 2c, 121 V 260 Erw. 2c, je mit Hinweisen). Das heisst, die vereinbarten Tarifbestimmungen mÃ¼ssen so ausgestaltet sein, dass deren Anwendung bei SchwerhÃ¶rigkeit eine HÃ¶rgerÃ¤teversorgung gewÃ¤hrleistet, die zwar nur, aber immerhin in einfacher und zweckmÃ¤ssiger Weise das mit der HÃ¶rgerÃ¤teabgabe angestrebte Eingliederungsziel, die adÃ¤quate VerstÃ¤ndigung im beruflichen oder TÃ¤tigkeitsbereich, erreicht (vgl. SVR 2002 IV Nr. 13 S. 41). Insbesondere die Anwendung der HÃ¶chstbetrÃ¤ge im Rahmen des vertraglich vorgesehenen Indikationenmodells darf deshalb nicht dazu fÃ¼hren, dass der versicherten Person ein HÃ¶rgerÃ¤t vorenthalten wird, das sich auf Grund ihres besonderen invaliditÃ¤tsbedingten EingliederungsbedÃ¼rfnisses als notwendig erweist. Massgebend bleibt stets der gesetzliche Anspruch auf HÃ¶rgerÃ¤teabgabe und damit das spezifische EingliederungsbedÃ¼rfnis der einzelnen versicherten Person, das mit der HÃ¶rgerÃ¤teversorgung befriedigt werden soll.</w:t>
      </w:r>
    </w:p>
    <w:p>
      <w:r>
        <w:t>Â Â Â Â Â Â Â Â Â Â  (...)</w:t>
      </w:r>
    </w:p>
    <w:p>
      <w:r>
        <w:t>Â Â Â Â Â Â Â Â Â Â  Sowohl das im Tarifvertrag vorgesehene Indikationsstufensystem selber als auch die Tarifierung der Indikationsstufen sind das Resultat einer jahrelangen interdisziplinÃ¤ren Zusammenarbeit zwischen den audiologischen Fachexperten, den HÃ¶rgerÃ¤teherstellern und -verkÃ¤ufern sowie dem BSV als AufsichtsbehÃ¶rde. Bei der HÃ¶rgerÃ¤teversorgung sind naturgemÃ¤ss die Grenzen zwischen behinderungsbedingtem Eingliederungsbedarf und persÃ¶nlichem Wunsch nach HÃ¶rkomfort fliessend. Entsprechend dem technologischen Wandel der VersorgungsmÃ¶glichkeiten kÃ¶nnen die tarifarischen AnsÃ¤tze angepasst werden. Aus rechtlicher Sicht sind keine GrÃ¼nde auszumachen, die gegen eine Ã¼berzeugende Konkretisierung der normativen Leistungsvoraussetzungen der HÃ¶rgerÃ¤teversorgung durch das vom BSV erarbeitete Vertragswerk sprechen. Es besteht deshalb deshalb kein Anlass, aus grundsÃ¤tzlichen Ãberlegungen in den Gestaltungsspielraum der Vertragsparteien einzugreifen. Vielmehr ist, im Sinne einer Vermutung, davon auszugehen, dass in der Regel eine diesen tarifvertraglichenÂ  AnsÃ¤tzen entsprechende Leistungszuerkennung den invaliditÃ¤tsbedingten EingliederungsbedÃ¼rfnissen im Einzelfall Rechnung trÃ¤gt und in einfacher wie zweckmÃ¤ssiger Weise zum Eingliederungserfolg im Sinne einer adÃ¤quaten VerstÃ¤ndigung fÃ¼hrt.</w:t>
      </w:r>
    </w:p>
    <w:p>
      <w:r>
        <w:t>Â Â Â Â Â Â Â Â Â Â  Der Einwand, dass es sich ausnahmsweise gegenteilig verhÃ¤lt, dass also im Einzelfall aus besonderen invaliditÃ¤tsbedingten GrÃ¼nden eine die tarifvertraglichen AnsÃ¤tze Ã¼bersteigende HÃ¶rgerÃ¤teversorgung notwendig sei, bleibt indessen nach geltendem Recht zulÃ¤ssig. Denn auf Grund der dargelegten gesetzlichen Konzeption (...) ist letztlich stets das konkrete EingliederungsbedÃ¼rfnis der Versicherten massgebend. Deshalb bleibt die gerichtliche PrÃ¼fung, ob die tarifarisch vergÃ¼teten HÃ¶chstpreise dem invaliditÃ¤tsbedingten EingliederungsbedÃ¼rfnis im konkreten Einzelfall Rechnung tragen, stets vorbehalten."</w:t>
      </w:r>
    </w:p>
    <w:p>
      <w:r>
        <w:t>3.2Â Â Â Â  Hat aber das EidgenÃ¶ssische Versicherungsgericht damit zum Ausdruck gebracht, dass tarifvertragliche Preislimiten (die vermutungsweise zwar in der Regel den invaliditÃ¤tsbedingten EingliederungsbedÃ¼rfnissen Rechnung tragen und in einfacher wie zweckmÃ¤ssiger Weise zum Eingliederungserfolg fÃ¼hren)</w:t>
      </w:r>
    </w:p>
    <w:p>
      <w:r>
        <w:t>den sozialversicherungsrechtlichen Leistungsanspruch im Einzelfall nicht zu beschrÃ¤nken vermÃ¶gen, kann es sich in FÃ¤llen wie dem vorliegenden, in dem ein Tarifvertrag die VergÃ¼tung eines Hilfsmittels von Vorneherein grundsÃ¤tzlich ausschliesst, nicht anders verhalten. Denn gleich wie ein tarifvertraglich vereinbarter HÃ¶chstpreis nicht dazu fÃ¼hren darf, einem Versicherten ein Hilfsmittel vorzuenthalten, das sich aufgrund des besonderen EingliederungsbedÃ¼rfnisses als notwendig erweist, darf auch der tarifvertragliche Ausschluss von der Leistungspflicht der Invalidenversicherung nicht zu einem solchen Ergebnis fÃ¼hren. Vielmehr muss mit Blick auf den stets massgebenden gesetzlichen Anspruch auf Eingliederung auch hier im Einzelfall stets Raum fÃ¼r Ausnahmen aufgrund eines spezifischen, gesteigerten EingliederungsbedÃ¼rfnisses sein.</w:t>
      </w:r>
    </w:p>
    <w:p>
      <w:r>
        <w:t>Â Â Â Â Â Â Â Â  Hat demnach die IV-Stelle den Anspruch auf die C-Leg Prothese allein mit der BegrÃ¼ndung verneint, dass diese gemÃ¤ss der Tarifvereinbarung mit dem SVOT von der Invalidenversicherung nicht zu vergÃ¼ten sei, so kann ihr nicht gefolgt werden. Vielmehr wÃ¤re in Analogie zu der in Ziff. 3.1 erwÃ¤hnten Rechtsprechung das Vorbringen der BeschwerdefÃ¼hrerin zu prÃ¼fen gewesen, wonach bei ihr ein besonderes EingliederungsbedÃ¼rfnis bestehe, welches (ausnahmsweise) eine Ã¼ber die tarifvertragliche Vereinbarung hinausgehende Versorgung mit einer C-Leg Prothese - im Sinne eines einfachen und zweckmÃ¤ssigen Hilfsmittels - erfordert.</w:t>
      </w:r>
    </w:p>
    <w:p>
      <w:r>
        <w:t>3.3Â Â Â Â  Ob ein solches besonderes EingliederungsbedÃ¼rfnis besteht - was insbesondere unter BerÃ¼cksichtigung der speziellen gesundheitlichen Situation sowie dem beruflichen TÃ¤tigkeitsbereich der BeschwerdefÃ¼hrerin zu prÃ¼fen ist - lÃ¤sst sich den vorliegenden Akten nicht mit der erforderlichen Deutlichkeit entnehmen. In medizinischer Hinsicht ergibt sich zwar aufgrund des Berichts von Dr. med. A.___, orthopÃ¤dische Chirurgie FMH (vom 16. Januar 2004), dass sich die Versorgung mit der ursprÃ¼nglichen (mechanischen) Prothese nur mÃ¤ssig bewÃ¤hrt habe; die BeschwerdefÃ¼hrerin sei im Arbeitsalltag Ã¤usserst beeintrÃ¤chtigt gewesen und habe zudem vermehrt Ã¼ber Schmerzen im linken HÃ¼ftbereich sowie Unsicherheiten beim Gehen geklagt. Ebenso bestÃ¤tigt Dr. A.___, dass die C-Leg Prothese, mit welcher die BeschwerdefÃ¼hrerin im Dezember 2003 versorgt worden sei, dieser einen praktisch normalen Bewegungsablauf, eine absolut sichere MobilitÃ¤t im Schulzimmer bei herumtollenden Kindern und dadurch vermehrte Sicherheit und geringere Sturzgefahr ermÃ¶gliche und die BeschwerdefÃ¼hrerin seither auch deutlich weniger HÃ¼ftschmerzen links habe. Dr. A.___ weist zudem darauf hin, die BeschwerdefÃ¼hrerin kÃ¶nne mit der C-Leg Versorgung ihre Arbeit mit Bestimmtheit zu 85% weiterfÃ¼hren, wÃ¤hrend ihre ArbeitsfÃ¤higkeit mit einer mechanischen Prothese nicht gesichert sei (vgl. Urk. 7/8). Â Â Â Â Â Â Â Â  Danach bestehen zwar keine Zweifel an der Geeignetheit (Zwecktauglichkeit) der C-Legprothese. Aus dem erwÃ¤hnten Bericht geht jedoch nicht hinreichend deutlich hervor, ob es sich dabei um eine im invalidenversicherungsrechtlichen Sinn notwendige (erforderliche) Hilfsmittelversorgung handelt, oder ob - stets unter BerÃ¼cksichtigung der besonderen gesundheitlichen und beruflichen Situation der BeschwerdefÃ¼hrerin - gegebenenfalls eine Eingliederung wirksam durch eine andere, vom Tarifvertrag mit dem SVOT erfasste Oberschenkel-Prothese erreicht werden kann. Ebensowenig enthalten die Akten klare Aussagen hinsichtlich der Frage der Angemessenheit (VerhÃ¤ltnismÃ¤ssigkeit im engeren Sinn, Erw. 1.2 hievor) (zum Begrifflichen vgl. Meyer-Blaser, a.a.O., S. 10 ff., 72 ff. und 77 ff.). Die Sache ist daher - zumal sich das Sozialversicherungsgericht, soweit es um die Interpretation von fachmedizinischen Sachverhalten und ZusammenhÃ¤ngen geht, eine gewisse ZurÃ¼ckhaltung aufzuerlegen hat - zur ergÃ¤nzenden AbklÃ¤rung an die Verwaltung zurÃ¼ckzuweisen.</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ist gemÃ¤ss Â§ 34 des Gesetzes Ã¼ber das Sozialversicherungsgericht in Verbindung mit Â§ 9 der Verordnung Ã¼ber die sozialversicherungsgerichtlichen GebÃ¼hren, Kosten und EntschÃ¤digungen unter BerÃ¼cksichtigung des notwendigen Aufwandes und der Schwierigkeit des Prozesses auf Fr. 800.--festzusetzen (inkl. Barauslagen und Mehrwertsteuer).Â</w:t>
      </w:r>
    </w:p>
    <w:p>
      <w:r>
        <w:t>Das Gericht erkennt:</w:t>
      </w:r>
    </w:p>
    <w:p>
      <w:r>
        <w:t>1.Â Â Â Â Â Â Â Â  Die Beschwerde wird in dem Sinne gutgeheissen, dass der Einspracheentscheid der Sozialversicherungsanstalt des Kantons ZÃ¼rich, IV-Stelle, vom 4. Mai 2004 aufgehoben und die Sache an die Beschwerdegegnerin zurÃ¼ckgewiesen, damit diese weitere AbklÃ¤rungen im Sinne der ErwÃ¤gungen vornehme und hernach Ã¼ber den Leistungsanspruch der BeschwerdefÃ¼hrerin neu verfÃ¼ge.</w:t>
      </w:r>
    </w:p>
    <w:p>
      <w:r>
        <w:t>2.Â Â Â Â Â Â Â Â  Das Verfahren ist kostenlos.</w:t>
      </w:r>
    </w:p>
    <w:p>
      <w:r>
        <w:t>3.Â Â Â Â Â Â Â Â  Die Beschwerdegegnerin wird verpflichtet, der BeschwerdefÃ¼hrerin eine ProzessentschÃ¤digung in HÃ¶he von Fr. 800.-- zu bezahlen (inkl. Barauslagen und Mehrwertsteuer).</w:t>
      </w:r>
    </w:p>
    <w:p>
      <w:r>
        <w:t>4.Â Â Â Â Â Â Â Â  Zustellung gegen Empfangsschein an:</w:t>
      </w:r>
    </w:p>
    <w:p>
      <w:r>
        <w:t>- Procap Schweizerischer Invaliden-Verband</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