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IV.2004.00290 vom 24. November 2004</w:t>
      </w:r>
    </w:p>
    <w:p>
      <w:r>
        <w:t>ZH Sozialversicherungsgericht, 2004-11-24, DE</w:t>
      </w:r>
    </w:p>
    <w:p>
      <w:r>
        <w:rPr>
          <w:b/>
        </w:rPr>
        <w:t xml:space="preserve">Quelle: </w:t>
      </w:r>
      <w:r>
        <w:t>https://mcp.opencaselaw.ch/entscheid/zh_sozialversicherungsgericht_IV.2004.00290</w:t>
      </w:r>
    </w:p>
    <w:p>
      <w:r>
        <w:t>FR: ZH_SOZIALVERSICHERUNGSGERICHT IV.2004.00290 du 24 novembre 2004</w:t>
      </w:r>
    </w:p>
    <w:p>
      <w:r>
        <w:t>IT: ZH_SOZIALVERSICHERUNGSGERICHT IV.2004.00290 del 24 novembre 2004</w:t>
      </w:r>
    </w:p>
    <w:p>
      <w:pPr>
        <w:pStyle w:val="Heading2"/>
      </w:pPr>
      <w:r>
        <w:t>Erwägungen</w:t>
      </w:r>
    </w:p>
    <w:p>
      <w:r>
        <w:rPr>
          <w:b/>
        </w:rPr>
        <w:t>E. 3</w:t>
      </w:r>
    </w:p>
    <w:p>
      <w:r>
        <w:t>3.1Â Â Â Â  Die Verwaltung hat im angefochtenen Einspracheentscheid zutreffend ausgefÃ¼hrt, dass das AHV-Gesetz den Anspruch auf Anrechnung von Erziehungsgutschriften grundsÃ¤tzlich davon abhÃ¤ngig macht, dass der versicherten Person fÃ¼r eines oder mehrere Kinder die elterliche Sorge zustand, wobei der Begriff der elterlichen Sorge im Sinne von Art. 296 ZGB zu verstehen ist. Eine Ausnahme von der Voraussetzung der elterlichen Sorge sieht das Gesetz lediglich insoweit vor, als der Bundesrat Vorschriften Ã¼ber die Anrechnung von Erziehungsgutschriften u.a. fÃ¼r den Fall erlassen kann, dass Eltern Kinder unter ihrer Obhut haben, ohne dass ihnen die elterliche Sorge zusteht (Art. 29 sexies Abs. 1 lit. a AHVG). Die vom Bundesrat gestÃ¼tzt darauf erlassene Verordnungsbestimmung von Art. 52e AHVV beschrÃ¤nkt sich darauf, einen Anspruch auf Erziehungsgutschriften fÃ¼r Jahre vorzusehen, in denen Eltern Kinder unter ihrer Obhut haben, ohne dass ihnen die elterliche Sorge zustand. Mit dieser Verordnungsbestimmung sollte jedoch nicht Versicherten ein Anspruch auf Erziehungsgutschriften eingerÃ¤umt werden, denen von Gesetzes wegen keine elterliche Sorge zusteht, sondern FÃ¤lle geregelt werden, in denen leiblichen Eltern oder Adoptiveltern die elterliche Sorge entzogen wurde (Art. 311 ZGB).</w:t>
      </w:r>
    </w:p>
    <w:p>
      <w:r>
        <w:t>3.2Â Â Â Â  Mit Blick auf diese grundlegende Abgrenzungsfunktion, welche nicht nur der Verordnungs- (AHI 1996 S. 35), sondern bereits der Gesetzgeber (Amtl. Bull. 1993 N 255 ff., 1994 S. 550 und 597 sowie N 1355 f.) der elterlichen Sorge (frÃ¼her: elterliche Gewalt) im Rahmen von Art. 29 sexies Abs. 1 AHVG beigemessen hatte, verneinte das EidgenÃ¶ssische Versicherungsgericht einen (eigenen) Anspruch auf die Anrechnung von Erziehungsgutschriften sowohl bei Stief- wie auch PflegekindverhÃ¤ltnissen (BGE 126 V 432 Erw. 2b, 125 V 245), weil Stief- und Pflegeeltern keine elterliche Sorge zukommt. So haben namentlich Pflegeeltern keine elterliche Sorge, sondern lediglich die Befugnis, die leiblichen Eltern in der elterlichen Sorge zu vertreten, soweit dies zur gehÃ¶rigen ErfÃ¼llung ihrer Aufgaben notwendig ist (Art. 300 Abs. 1 ZGB). Wie die Verwaltung im angefochtenen Einspracheentscheid sodann zutreffend anfÃ¼hrt, sah das EidgenÃ¶ssische Versicherungsgericht in seiner Rechtsprechung vom Erfordernis der elterlichen Sorge einzig im Falle einer Vormundin ab, welche einen unmÃ¼ndigen Neffen in persÃ¶nlicher Obhut hatte. BegrÃ¼ndet hatte das Gericht den Entscheid im Wesentlichen damit, dass der Vormundin nach der zivilrechtlichen Ordnung Befugnisse zustanden, die der elterlichen Sorge gleichkamen und sie diese nicht - wie Pflegeeltern - bloss vertretungsweise, sondern grundsÃ¤tzlich selbstÃ¤ndig ausgeÃ¼bt hatte (BGE 126 V Erw. 4a).</w:t>
      </w:r>
    </w:p>
    <w:p>
      <w:r>
        <w:t>3.3Â Â Â Â  Unter BerÃ¼cksichtigung der dargestellten gesetzlichen Regelung wie auch der hÃ¶chstrichterlichen Rechtsprechung ist daher der Verwaltung darin beizupflichten, dass im Falle der BeschwerdefÃ¼hrerin ein Anspruch auf Erziehungsgutschriften nicht bejaht werden kann. Denn aus den Akten ergibt sich, dass die BeschwerdefÃ¼hrerin von 1985 bis im Jahre 2002 im Auftrag der VormundschaftsbehÃ¶rde B.___ drei Halbwaisen zu sich in Pflege nahm (Urk. 3/8). Dabei ist unbestritten und ist aus den Akten ersichtlich, dass es sich zivilrechtlich um ein PflegekindverhÃ¤ltnis handelte, die BeschwerdefÃ¼hrerin die Kinder mithin insbesondere nicht als Vormundin in ihre persÃ¶nliche Obhut nahm (vgl. Urk. 1 S. 1 sowie Urk. 3/8). Wohl ist den AusfÃ¼hrungen der BeschwerdefÃ¼hrerin durchaus Glauben zu schenken, dass sie sich fÃ¼r das Wohlergehen der Kinder in hohem Masse engagierte und ihnen fÃ¼r deren persÃ¶nliche Entwicklung ein gutes Umfeld zu bieten vermochte, woraus auch eine enge persÃ¶nliche Verbindung zu den inzwischen volljÃ¤hrigen Kindern erwuchs (Urk. 1 S. 1). Dies vermag jedoch nichts daran zu Ã¤ndern, dass die Tatsache allein, wonach die BeschwerdefÃ¼hrerin die Kinder als Pflegemutter in ihrer persÃ¶nlichen Obhut hatte und allenfalls faktisch auch die elterliche Sorge ausÃ¼bte, nach der gesetzlichen Konzeption in diesem Bereich nicht genÃ¼gt, weil diese auf das formelle zivilrechtliche Erfordernis der elterlichen Sorge abstellt (vgl. vorerwÃ¤hnter BGE 125 V 245, vgl. auch publiziertes Urteil des EidgenÃ¶ssischen Versicherungsgerichts in Sachen A., S., und T. vom 19. Februar 2004, H 63/02).</w:t>
      </w:r>
    </w:p>
    <w:p>
      <w:r>
        <w:t>3.4Â Â Â Â  Damit wurden bei der Berechnung der vorliegend streitigen Invalidenrente zuÂ  Recht keine Erziehungsgutschriften berÃ¼cksichtigt. Da die Berechnung der Invalidenrente im Ãbrigen nicht beanstandet worden ist und zudem in Einklang mit der gesetzlichen Ordnung steht, erweisen sich der angefochtene Einspracheentscheid 5. April 2004 sowie die angefochtene VerfÃ¼gung vom 6. August 2003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