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IV.2004.00194 vom 22. September 2004</w:t>
      </w:r>
    </w:p>
    <w:p>
      <w:r>
        <w:t>ZH Sozialversicherungsgericht, 2004-09-22, DE</w:t>
      </w:r>
    </w:p>
    <w:p>
      <w:r>
        <w:rPr>
          <w:b/>
        </w:rPr>
        <w:t xml:space="preserve">Quelle: </w:t>
      </w:r>
      <w:r>
        <w:t>https://mcp.opencaselaw.ch/entscheid/zh_sozialversicherungsgericht_IV.2004.00194</w:t>
      </w:r>
    </w:p>
    <w:p>
      <w:r>
        <w:t>FR: ZH_SOZIALVERSICHERUNGSGERICHT IV.2004.00194 du 22 septembre 2004</w:t>
      </w:r>
    </w:p>
    <w:p>
      <w:r>
        <w:t>IT: ZH_SOZIALVERSICHERUNGSGERICHT IV.2004.00194 del 22 settembre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2.3</w:t>
      </w:r>
    </w:p>
    <w:p>
      <w:r>
        <w:t>Dagegen bringt die Beschwerdegegnerin vor (Urk. 2 und 7), der BeschwerdefÃ¼hrer sei zu 50 % arbeitsfÃ¤hig. Vor Eintritt des Gesundheitsschadens habe er aus invaliditÃ¤tsfremden GrÃ¼nden ein tiefes Einkommen erzielt. Im Vergleich mit dem mÃ¶glichen Invalideneinkommen resultiere daher keine invaliditÃ¤tsbedingte Einkommenseinbusse.</w:t>
      </w:r>
    </w:p>
    <w:p>
      <w:r>
        <w:rPr>
          <w:b/>
        </w:rPr>
        <w:t>E. 3</w:t>
      </w:r>
    </w:p>
    <w:p>
      <w:r>
        <w:t>3.1Â Â Â Â  GemÃ¤ss Feststellungsblatt fÃ¼r den Beschluss vom 14. Mai 1997 (Urk. 8/26) stÃ¼tzte sich die Beschwerdegegnerin bei ihrem Entscheid, dem BeschwerdefÃ¼hrer mit Wirkung ab 1. MÃ¤rz 1996 eine ganze Invalidenrente zuzusprechen (siehe Urk. 8/26), auf den Bericht von Dr. med. G.___ vom 12. Dezember 1996 (Urk. 8/12). Dieser Arzt hatte folgende Diagnosen festgehalten (Urk. 8/12 Ziff. 3): "Status post Contusionen (Sommer 1995), SchlÃ¤gerei - mit der Faust - Nasen-Knochenbruch. Danach hatte der BeschwerdefÃ¼hrer zunehmend entsprechende AnfÃ¤lle der Epilepsie". ZusÃ¤tzlich erwÃ¤hnte Dr. G.___ einen chronischen Ãthylabusus und bezeichnete den BeschwerdefÃ¼hrer als sehr depressiv und verstummt mit Angst vor Ã¶ffentlichen AnfÃ¤llen. Die ArbeitsunfÃ¤higkeit des BeschwerdefÃ¼hrers beurteilte Dr. G.___ mit 100 %, allerdings ohne einen Beginn dieser EinschrÃ¤nkung zu erwÃ¤hnen und ohne anzugeben, auf welchen TÃ¤tigkeitsbereich sich diese bezog (Urk. 8/12 Ziff. 1.5). Den Gesundheitszustand des BeschwerdefÃ¼hrers bezeichnete Dr. G.___ als besserungsfÃ¤hig (Urk. 8/12 Ziff. 1.4).</w:t>
      </w:r>
    </w:p>
    <w:p>
      <w:r>
        <w:rPr>
          <w:b/>
        </w:rPr>
        <w:t>E. 3.2</w:t>
      </w:r>
    </w:p>
    <w:p>
      <w:r>
        <w:t>Zwischenzeitlich liess sich der BeschwerdefÃ¼hrer am 17. Juni 2002 an der C.___ einer operativen Dekompression der Wurzel C7 links unterziehen (Urk. 8/8).</w:t>
      </w:r>
    </w:p>
    <w:p>
      <w:r>
        <w:t>3.3Â Â Â Â  Im Bericht vom 21. Juni 2003 (Urk. 8/10/2) stellte Dr. B.___ keine Diagnose mit Auswirkung auf die ArbeitsfÃ¤higkeit und gab gegenÃ¼ber der Beschwerdegegnerin an, dass der BeschwerdefÃ¼hrer in einer behinderungsangepassten TÃ¤tigkeit ganztags arbeitsfÃ¤hig sei (Urk. 8/10/1). Im Schreiben vom 15. September 2003 (Urk. 8/19) verbesserte der Arzt seine AusfÃ¼hrungen und machte geltend, dass ihm ein Fehler unterlaufen sei und er die EintrÃ¤ge "Diagnose mit Auswirkungen auf die ArbeitsfÃ¤higkeit" und "Diagnosen ohne Auswirkungen auf die ArbeitsfÃ¤higkeit" in seinem Bericht (Urk. 8/10/2) vertauscht habe. In der korrigierten Fassung seines Berichtes vom 21. Juni 2003 (Urk. 8/9) diagnostizierte Dr. B.___ mit Auswirkung auf die ArbeitsfÃ¤higkeit eine posttraumatische Epilepsie, eine cervicale Discushernie und eine schwere Radikulopathie C7 links (Foramenstenose C 6/7), operiert im Juni 2002, und hielt fest, die Ã¼brigen Diagnosen, welche zu einer Berentung des BeschwerdefÃ¼hrers gefÃ¼hrt hÃ¤tten, seien ihm nicht bekannt. Den Gesundheitszustand des BeschwerdefÃ¼hrers bezeichnete Dr. B.___ als besserungsfÃ¤hig. Die linke obere ExtremitÃ¤t habe sich in Funktion und Schmerzen seit der Operation im Juni 2002 gebessert; Ãberkopfarbeiten seien noch nicht mÃ¶glich, die Feinmotorik sei gestÃ¶rt, ein Gewichtsgebrauch von ca. 2 kg sei mÃ¶glich. In welchem Ausmass sich die von ihm erhobenen Befunde auf die ArbeitsfÃ¤higkeit des BeschwerdefÃ¼hrers auswirken, lÃ¤sst Dr. B.___ in seinem korrigierten Bericht offen. Nicht erklÃ¤ren lÃ¤sst sich aus dieser Berichtigung auch, aus welchen GrÃ¼nden Dr. B.___ im Fragebogen der Beschwerdegegnerin nach der Arbeitsbelastung (Urk. 8/10/1) eine ganztÃ¤gige ArbeitsfÃ¤higkeit in einer behinderungsangepassten TÃ¤tigkeit als zumutbar erachtet hatte. Auf die Berichte von Dr. B.___ lÃ¤sst sich deshalb nur sehr bedingt abstellen.</w:t>
      </w:r>
    </w:p>
    <w:p>
      <w:r>
        <w:t>Â Â Â Â Â Â Â Â  Auch aus den wÃ¤hrend des Einspracheverfahrens eingeholten Arztberichten lÃ¤sst sich nicht abschliessend beantworten, wie weit der BeschwerdefÃ¼hrer in seiner ArbeitsfÃ¤higkeit eingeschrÃ¤nkt ist. Dr. med. H.___ geht aufgrund der HalswirbelsÃ¤ulenproblematik von einer ArbeitsfÃ¤higkeit in einer leichten TÃ¤tigkeit von mindestens 50 % aus (Urk. 8/8), ohne dabei konkret auf die EinschrÃ¤nkungen hinzuweisen, und Z.___ spricht sich lediglich zur epileptischen Problematik aus (Urk. 8/7).</w:t>
      </w:r>
    </w:p>
    <w:p>
      <w:r>
        <w:rPr>
          <w:b/>
        </w:rPr>
        <w:t>E. 3.4</w:t>
      </w:r>
    </w:p>
    <w:p>
      <w:r>
        <w:t>Aufgrund der anlÃ¤sslich der Rentenrevision und des Einspracheverfahrens durch die Beschwerdegegnerin eingeholten Arztberichte ist nicht auszuschliessen, dass der BeschwerdefÃ¼hrer durch die HalswirbelsÃ¤ulenproblematik auch nach der Operation vom 17. Juni 2002 in den linken oberen ExtremitÃ¤ten eingeschrÃ¤nkt ist (Urk. 8/9). Zudem wird durch Dr. B.___ eine cervicale Diskushernie diagnostiziert. AnlÃ¤sslich der konsiliarischen Untersuchung in der Schmerzsprechstunde der C.___ am 9. Juni 2004 (Urk. 19/5) stellte Prof. F.___ beim BeschwerdefÃ¼hrer ausserdem eine depressive Stimmungslage und eine massive psychomotorische Verlangsamung fest. Dagegen scheint die Problematik der Epilepsie zumindest in Bezug auf die ArbeitsfÃ¤higkeit nicht mehr im Vordergrund zu stehen (Urk. 8/7).</w:t>
      </w:r>
    </w:p>
    <w:p>
      <w:r>
        <w:t>Â Â Â Â Â Â Â Â  In diagnostischer Hinsicht ist somit klar ersichtlich und ausgewiesen, dass sich der Gesundheitszustand des BeschwerdefÃ¼hrers im Zeitpunkt des angefochtenen Einspracheentscheides wesentlich anders zeigt, als beim Erlass der VerfÃ¼gung vom 20. Januar 1998, wobei sich aufgrund der gestellten Diagnosen grundsÃ¤tzlich noch nichts Ã¼ber eine allfÃ¤llige EinschrÃ¤nkung in der ArbeitsfÃ¤higkeit sagen oder beantworten lÃ¤sst, ob sich der Gesundheitszustand des BeschwerdefÃ¼hrers dadurch (mit Bezug auf die ArbeitsfÃ¤higkeit) grundsÃ¤tzlich gebessert oder verschlechtert hat.</w:t>
      </w:r>
    </w:p>
    <w:p>
      <w:r>
        <w:t>Â Â Â Â Â Â Â Â  Dr. E.___ geht in seinem Bericht vom 20. Juni 2004 (Urk. 19/6) von einer theoretischen RestarbeitsfÃ¤higkeit von noch maximal 20 % aus, wobei er eine somatoforme SchmerzstÃ¶rung mit Schmerzausbreitung zugrunde legt, welche bis anhin weder fachÃ¤rztlich diagnostiziert noch abgeklÃ¤rt worden ist. Prof. F.___ stellt in seinem Bericht vom 9. Juni 2004 (Urk. 19/5) grundsÃ¤tzlich die ArbeitsfÃ¤higkeit des BeschwerdefÃ¼hrers in Frage, bestÃ¤tigt aber auch, dass nicht jedes Leiden per se zu einer massiven BeeintrÃ¤chtigung fÃ¼hre, sondern die vice versa-Beeinflussung von verschiedenen Teilaspekten wesentlich erscheine. Klarerweise hÃ¤lt Prof. F.___ aber ausserdem fest, dass gerade auch die soziale Problematik im Vordergrund stehe, die Schmerzen des BeschwerdefÃ¼hrers eher diffus erscheinen und sein Verhalten anlÃ¤sslich der konsiliarischen Untersuchung am 9. Juni 2004 teilweise nicht im Einklang mit den geschilderten Beschwerden stehe. Im Ergebnis erachtet Prof. F.___ denn auch eine interdisziplinÃ¤re Begutachtung als notwendig, um abschliessend Ã¼ber die noch vorhandene RestarbeitsfÃ¤higkeit des BeschwerdefÃ¼hrers befinden zu kÃ¶nnen. Eine solche Begutachtung hatte denn auch schon Dr. H.___ der C.___ in seinem Schreiben vom 17. November 2003 angeregt (Urk. 8/8).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lic. iur. Caroline Fischer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