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IV.2004.00084 vom 18. August 2004</w:t>
      </w:r>
    </w:p>
    <w:p>
      <w:r>
        <w:t>ZH Sozialversicherungsgericht, 2004-08-18, DE</w:t>
      </w:r>
    </w:p>
    <w:p>
      <w:r>
        <w:rPr>
          <w:b/>
        </w:rPr>
        <w:t xml:space="preserve">Quelle: </w:t>
      </w:r>
      <w:r>
        <w:t>https://mcp.opencaselaw.ch/entscheid/zh_sozialversicherungsgericht_IV.2004.00084</w:t>
      </w:r>
    </w:p>
    <w:p>
      <w:r>
        <w:t>FR: ZH_SOZIALVERSICHERUNGSGERICHT IV.2004.00084 du 18 août 2004</w:t>
      </w:r>
    </w:p>
    <w:p>
      <w:r>
        <w:t>IT: ZH_SOZIALVERSICHERUNGSGERICHT IV.2004.00084 del 18 agosto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Die Beschwerdegegnerin begrÃ¼ndete den angefochtenen Einspracheentscheid im Wesentlichen damit, dass der BeschwerdefÃ¼hrer aufgrund des von ihm unterzeichneten Vorbescheids vom 4. Mai 2000 (Urk. 7/8) sowie der getroffenen Vereinbarung vom 2. April 2000 (Urk. 7/35) nicht auf die Richtigkeit der VerfÃ¼gungen vom 19. Mai 2000 sowie 14. Januar 2002 vertrauen durfte. Da ihm aber kein arglistiges oder grobfahrlÃ¤ssiges Verhalten vorgeworfen werden kÃ¶nne, sei der Taggeldanspruch zu Recht einen Monat Ã¼ber die ursprÃ¼ngliche Anspruchsberechtigung bezahlt worden (Urk. 2 S. 2).</w:t>
      </w:r>
    </w:p>
    <w:p>
      <w:r>
        <w:t>2.2Â Â Â Â  Der Vertreter des BeschwerdefÃ¼hrers machte in materieller Hinsicht im Wesentlichen geltend, dass sich der BeschwerdefÃ¼hrer auf die klaren, unzweideutigen und in Rechtskraft erwachsenen VerfÃ¼gung vom 19. Mai 2000 sowie 14. Januar 2002 betreffend Taggeldzahlungen bis 30. September 2004 habe verlassen kÃ¶nnen und verlassen habe. Weiter seien die genannten VerfÃ¼gungen nicht zweifellos unrichtig, weshalb eine wiedererwÃ¤gungsweise Aufhebung nicht zulÃ¤ssig sei. Selbst wenn die Voraussetzungen fÃ¼r eine WiedererwÃ¤gung erfÃ¼llt wÃ¤ren, hÃ¤tte seitens der Verwaltung unter BerÃ¼cksichtigung des Vertrauensgrundsatzes eine angemessene Ãbergangsfrist bis zum Eintritt der WiedererwÃ¤gungswirkungen festgesetzt werden mÃ¼ssen (Urk. 1 S. 4 ff.). Abgesehen davon sei festzuhalten, dass die in Angriff genommene Umschulung zum Ingenieur keine berufliche Mehrqualifikation beinhalte, weshalb die gesamten Kosten der vierjÃ¤hrigen Umschulung zu Ã¼bernehmen gewesen wÃ¤ren (Urk. 10 S. 2).</w:t>
      </w:r>
    </w:p>
    <w:p>
      <w:r>
        <w:t>2.3Â Â Â Â</w:t>
      </w:r>
    </w:p>
    <w:p>
      <w:r>
        <w:t>2.3.1Â Â  Die VerfÃ¼gung der IV-Stelle vom 12. Mai 2000, mit welcher dem BeschwerdefÃ¼hrer die Kosten der Umschulung zum Holzingenieur im Austausch zu einem dreijÃ¤hrigen Handelsschulbesuch zugesprochen wurde, ist unangefochten in Rechtskraft erwachsen, weshalb auf sie nur noch mittels WiedererwÃ¤gung oder prozessualer Revision zurÃ¼ckgekommen werden kann. Da die Verwaltung vom Gericht zu einer WiedererwÃ¤gung nicht verhalten werden kann und sich weder aus den Vorbringen der beschwerdefÃ¼hrenden Partei noch aus den weiteren Akten Hinweise, welche eine prozessuale Revision der VerfÃ¼gung vom 12. Mai 2000 begrÃ¼nden kÃ¶nnten, ergeben, ist auf die genannte VerfÃ¼gung nicht zurÃ¼ckzukommen.</w:t>
      </w:r>
    </w:p>
    <w:p>
      <w:r>
        <w:t>2.3.2Â Â  Im Weiteren bleibt zu prÃ¼fen, ob die TaggeldverfÃ¼gungen vom 19. Mai 2000 sowie 14. Januar 2002 fÃ¼r die Beschwerdegegnerin bindend sind. Dabei ist insbesondere massgebend, ob dem BeschwerdefÃ¼hrer der Mangel bei Anwendung der zumutbaren Aufmerksamkeit erkennbar gewesen wÃ¤re. Dabei ist diejenige Aufmerksamkeit geboten, die nach den UmstÃ¤nden verlangt werden kann, was sich nur im Einzelfall in WÃ¼rdigung aller Gegebenheiten beurteilen lÃ¤sst, wobei von objektiven Kriterien auszugehen ist (BGE 120 V 335 Erw. 10).</w:t>
      </w:r>
    </w:p>
    <w:p>
      <w:r>
        <w:t>Â Â Â Â Â Â Â Â  Dem BeschwerdefÃ¼hrer war klar, dass hinsichtlich seines Umschulungsverfahrens die Austauschbefugnis angewandt wird (Urk. 7/35). Sowohl der Vorbescheid vom 4. Mai 2000 als auch die VerfÃ¼gung vom 12. Mai 2000 halten ausdrÃ¼cklich fest, dass der BeschwerdefÃ¼hrer grundsÃ¤tzlich Anspruch auf einen dreijÃ¤hrigen Handelsschulbesuch hat. Dies ergibt sich auch aus der Berechnung der Kosten fÃ¼r die Handelsschule (Schulkosten fÃ¼r 3 Jahre, Schulmaterial fÃ¼r 3 Jahre) wie auch aus dem fettgedruckten Hinweis, dass der BeschwerdefÃ¼hrer Anspruch auf Taggeldzahlungen wÃ¤hrend 3 Jahren hat. Aufgrund der genannten UmstÃ¤nde sowie der zweifelsohne vorhandenen geistigen Ressourcen des BeschwerdefÃ¼hrers, wÃ¤re es diesem ohne weiteres erkennbar gewesen, dass die TaggeldverfÃ¼gungen (Taggeldleistungen bis September 2004) nicht der ursprÃ¼nglichen VerfÃ¼gung vom 12. Mai 2000 sowie dem Vorbescheid vom 4. Mai 2000 entsprechen. Die Verwaltung hat demnach im vorliegenden Fall sowohl eine richtige wie auch eine unrichtige VerfÃ¼gung erlassen und es wÃ¤re dem BeschwerdefÃ¼hrer ohne weiteres zuzumuten gewesen, diese Diskrepanz zu erkennen und aufzuklÃ¤ren. Insbesondere durfte er nicht ohne weitere AbklÃ¤rungen zu treffen auf die Richtigkeit der fÃ¼r ihn gÃ¼nstiger lautenden TaggeldverfÃ¼gungen vom 19. Mai 2000 und 14. Januar 2002 vertrauen.</w:t>
      </w:r>
    </w:p>
    <w:p>
      <w:r>
        <w:t>Â Â Â Â Â Â Â Â  Die genannten TaggeldverfÃ¼gungen sind demnach fÃ¼r die Beschwerdegegnerin nicht bindend und es bleibt die ZulÃ¤ssigkeit der erfolgten WiedererwÃ¤gung zu Ã¼berprÃ¼fen.</w:t>
      </w:r>
    </w:p>
    <w:p>
      <w:r>
        <w:t>2.3.3Â Â  Wie die VerfÃ¼gung vom 12. Mai 2000 zutreffend festhÃ¤lt, hat der BeschwerdefÃ¼hrer grundsÃ¤tzlich Anspruch auf eine dreijÃ¤hrige Handelsschulausbildung. Daraus ergibt sich ohne weiteres auch ein - akzessorischer - Taggeldanspruch von lediglich 3 Jahren, so dass die TaggeldverfÃ¼gungen vom 19. Mai 2000 und 14. Januar 2002 zweifellos unrichtig sind. Ihre Berichtigung ist zudem von erheblicher Bedeutung und die genannten VerfÃ¼gungen waren bis zum Zeitpunkt der WiedererwÃ¤gungsverfÃ¼gungen (17. November 2003) nicht Gegenstand einer materiellen richterlichen Beurteilung gewesen. Die ergangenen WiedererwÃ¤gungsverfÃ¼gungen vom 17. November 2003 sind somit nicht zu beanstanden.</w:t>
      </w:r>
    </w:p>
    <w:p>
      <w:r>
        <w:t>2.3.4 Hinsichtlich der RÃ¼ckforderung der erbrachten Taggeldleistungen per Oktober 2003 ist entsprechend den AusfÃ¼hrungen der Beschwerdegegnerin (Urk. 2 S. 2) festzuhalten, dass sich der BeschwerdefÃ¼hrer keiner groben NachlÃ¤ssigkeit schuldig gemacht hat, so dass eine RÃ¼ckforderung der Leistungen zu unterbleiben hat.</w:t>
      </w:r>
    </w:p>
    <w:p>
      <w:r>
        <w:t>2.3.5Â Â  Da der durch die vorliegenden Akten erstellte Sachverhalt als Ã¼berwiegend wahrscheinlich zu betrachten ist, kann auf den Beizug der Akten der Ausgleichskasse Schreiner verzichtet werden, zumal die TaggeldverfÃ¼gungen vom 19. Mai 2000, 14. Januar 2002 sowie 17. November 2003 den vorliegenden Akten beiliegen (antizipierte BeweiswÃ¼rdigung).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Rechtsanwalt Dr. Ueli Kieser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